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31771" w14:textId="77777777" w:rsidR="004D51E8" w:rsidRPr="004D51E8" w:rsidRDefault="004D51E8" w:rsidP="004D51E8">
      <w:pPr>
        <w:rPr>
          <w:rFonts w:ascii="黑体" w:eastAsia="黑体" w:hAnsi="黑体"/>
          <w:sz w:val="32"/>
          <w:szCs w:val="32"/>
        </w:rPr>
      </w:pPr>
      <w:r w:rsidRPr="004D51E8">
        <w:rPr>
          <w:rFonts w:ascii="黑体" w:eastAsia="黑体" w:hAnsi="黑体" w:hint="eastAsia"/>
          <w:sz w:val="32"/>
          <w:szCs w:val="32"/>
        </w:rPr>
        <w:t>附件1</w:t>
      </w:r>
    </w:p>
    <w:p w14:paraId="44070EC3" w14:textId="77777777" w:rsidR="004D51E8" w:rsidRDefault="004D51E8" w:rsidP="004D51E8">
      <w:pPr>
        <w:spacing w:line="360" w:lineRule="auto"/>
        <w:rPr>
          <w:rFonts w:ascii="仿宋_GB2312" w:eastAsia="仿宋_GB2312"/>
          <w:sz w:val="44"/>
          <w:szCs w:val="44"/>
        </w:rPr>
      </w:pPr>
    </w:p>
    <w:p w14:paraId="5DCE17F8" w14:textId="77777777" w:rsidR="004D51E8" w:rsidRDefault="004D51E8" w:rsidP="004D51E8">
      <w:pPr>
        <w:spacing w:line="360" w:lineRule="auto"/>
        <w:rPr>
          <w:rFonts w:ascii="仿宋_GB2312" w:eastAsia="仿宋_GB2312"/>
          <w:sz w:val="44"/>
          <w:szCs w:val="44"/>
        </w:rPr>
      </w:pPr>
    </w:p>
    <w:p w14:paraId="467A69B9" w14:textId="77777777" w:rsidR="004D51E8" w:rsidRDefault="004D51E8" w:rsidP="004D51E8">
      <w:pPr>
        <w:spacing w:line="360" w:lineRule="auto"/>
        <w:rPr>
          <w:rFonts w:ascii="仿宋_GB2312" w:eastAsia="仿宋_GB2312"/>
          <w:sz w:val="44"/>
          <w:szCs w:val="44"/>
        </w:rPr>
      </w:pPr>
    </w:p>
    <w:p w14:paraId="6136B5DF" w14:textId="77777777" w:rsidR="004D51E8" w:rsidRDefault="004D51E8" w:rsidP="004D51E8">
      <w:pPr>
        <w:spacing w:line="360" w:lineRule="auto"/>
        <w:rPr>
          <w:rFonts w:ascii="仿宋_GB2312" w:eastAsia="仿宋_GB2312"/>
          <w:sz w:val="44"/>
          <w:szCs w:val="44"/>
        </w:rPr>
      </w:pPr>
    </w:p>
    <w:p w14:paraId="0AEC19C9" w14:textId="77777777" w:rsidR="004D51E8" w:rsidRDefault="004D51E8" w:rsidP="004D51E8">
      <w:pPr>
        <w:jc w:val="center"/>
        <w:rPr>
          <w:rFonts w:ascii="宋体" w:hAnsi="宋体"/>
          <w:sz w:val="44"/>
          <w:szCs w:val="44"/>
        </w:rPr>
      </w:pPr>
      <w:r>
        <w:rPr>
          <w:rFonts w:ascii="宋体" w:hAnsi="宋体" w:hint="eastAsia"/>
          <w:sz w:val="44"/>
          <w:szCs w:val="44"/>
        </w:rPr>
        <w:t>2020年度单位整体支出绩效评价报告</w:t>
      </w:r>
    </w:p>
    <w:p w14:paraId="1EA5EB78" w14:textId="77777777" w:rsidR="004D51E8" w:rsidRDefault="004D51E8" w:rsidP="004D51E8">
      <w:pPr>
        <w:spacing w:line="360" w:lineRule="auto"/>
        <w:jc w:val="center"/>
        <w:rPr>
          <w:rFonts w:ascii="仿宋_GB2312" w:eastAsia="仿宋_GB2312"/>
          <w:sz w:val="32"/>
          <w:szCs w:val="32"/>
        </w:rPr>
      </w:pPr>
    </w:p>
    <w:p w14:paraId="5E471DF4" w14:textId="77777777" w:rsidR="004D51E8" w:rsidRDefault="004D51E8" w:rsidP="004D51E8">
      <w:pPr>
        <w:spacing w:line="360" w:lineRule="auto"/>
        <w:rPr>
          <w:rFonts w:ascii="仿宋_GB2312" w:eastAsia="仿宋_GB2312"/>
          <w:sz w:val="32"/>
          <w:szCs w:val="32"/>
        </w:rPr>
      </w:pPr>
    </w:p>
    <w:p w14:paraId="6954FECB" w14:textId="77777777" w:rsidR="004D51E8" w:rsidRDefault="004D51E8" w:rsidP="004D51E8">
      <w:pPr>
        <w:spacing w:line="360" w:lineRule="auto"/>
        <w:rPr>
          <w:rFonts w:ascii="仿宋_GB2312" w:eastAsia="仿宋_GB2312"/>
          <w:sz w:val="32"/>
          <w:szCs w:val="32"/>
        </w:rPr>
      </w:pPr>
    </w:p>
    <w:p w14:paraId="7CBF93D3" w14:textId="77777777" w:rsidR="004D51E8" w:rsidRDefault="004D51E8" w:rsidP="004D51E8">
      <w:pPr>
        <w:spacing w:line="360" w:lineRule="auto"/>
        <w:rPr>
          <w:rFonts w:ascii="仿宋_GB2312" w:eastAsia="仿宋_GB2312"/>
          <w:sz w:val="32"/>
          <w:szCs w:val="32"/>
        </w:rPr>
      </w:pPr>
    </w:p>
    <w:p w14:paraId="5C96FCF0" w14:textId="77777777" w:rsidR="004D51E8" w:rsidRDefault="004D51E8" w:rsidP="004D51E8">
      <w:pPr>
        <w:spacing w:line="360" w:lineRule="auto"/>
        <w:rPr>
          <w:rFonts w:ascii="仿宋_GB2312" w:eastAsia="仿宋_GB2312"/>
          <w:sz w:val="32"/>
          <w:szCs w:val="32"/>
        </w:rPr>
      </w:pPr>
    </w:p>
    <w:p w14:paraId="2772639F" w14:textId="77777777" w:rsidR="004D51E8" w:rsidRDefault="004D51E8" w:rsidP="004D51E8">
      <w:pPr>
        <w:spacing w:line="360" w:lineRule="auto"/>
        <w:rPr>
          <w:rFonts w:ascii="仿宋_GB2312" w:eastAsia="仿宋_GB2312"/>
          <w:sz w:val="32"/>
          <w:szCs w:val="32"/>
        </w:rPr>
      </w:pPr>
    </w:p>
    <w:p w14:paraId="6A649BD5" w14:textId="77777777" w:rsidR="004D51E8" w:rsidRDefault="004D51E8" w:rsidP="004D51E8">
      <w:pPr>
        <w:spacing w:line="360" w:lineRule="auto"/>
        <w:rPr>
          <w:rFonts w:ascii="仿宋_GB2312" w:eastAsia="仿宋_GB2312"/>
          <w:sz w:val="32"/>
          <w:szCs w:val="32"/>
        </w:rPr>
      </w:pPr>
    </w:p>
    <w:p w14:paraId="30BB28C0" w14:textId="77777777" w:rsidR="004D51E8" w:rsidRDefault="004D51E8" w:rsidP="004D51E8">
      <w:pPr>
        <w:spacing w:line="360" w:lineRule="auto"/>
        <w:rPr>
          <w:rFonts w:ascii="仿宋_GB2312" w:eastAsia="仿宋_GB2312"/>
          <w:sz w:val="32"/>
          <w:szCs w:val="32"/>
        </w:rPr>
      </w:pPr>
    </w:p>
    <w:p w14:paraId="17171695" w14:textId="77777777" w:rsidR="004D51E8" w:rsidRDefault="004D51E8" w:rsidP="004D51E8">
      <w:pPr>
        <w:spacing w:line="360" w:lineRule="auto"/>
        <w:rPr>
          <w:rFonts w:ascii="仿宋_GB2312" w:eastAsia="仿宋_GB2312"/>
          <w:sz w:val="32"/>
          <w:szCs w:val="32"/>
        </w:rPr>
      </w:pPr>
    </w:p>
    <w:p w14:paraId="6BCA1AE2" w14:textId="77777777" w:rsidR="004D51E8" w:rsidRDefault="004D51E8" w:rsidP="004D51E8">
      <w:pPr>
        <w:spacing w:line="360" w:lineRule="auto"/>
        <w:rPr>
          <w:rFonts w:ascii="仿宋_GB2312" w:eastAsia="仿宋_GB2312"/>
          <w:sz w:val="32"/>
          <w:szCs w:val="32"/>
        </w:rPr>
      </w:pPr>
    </w:p>
    <w:p w14:paraId="43763841" w14:textId="77777777" w:rsidR="004D51E8" w:rsidRDefault="004D51E8" w:rsidP="004D51E8">
      <w:pPr>
        <w:spacing w:line="360" w:lineRule="auto"/>
        <w:ind w:firstLineChars="550" w:firstLine="1760"/>
        <w:rPr>
          <w:rFonts w:ascii="仿宋_GB2312" w:eastAsia="仿宋_GB2312"/>
          <w:sz w:val="32"/>
          <w:szCs w:val="32"/>
        </w:rPr>
      </w:pPr>
      <w:r>
        <w:rPr>
          <w:rFonts w:ascii="仿宋_GB2312" w:eastAsia="仿宋_GB2312" w:hint="eastAsia"/>
          <w:sz w:val="32"/>
          <w:szCs w:val="32"/>
        </w:rPr>
        <w:t>部门名称（公章）：南方科技大学</w:t>
      </w:r>
    </w:p>
    <w:p w14:paraId="2958DBAC" w14:textId="2C27FCCC" w:rsidR="004D51E8" w:rsidRDefault="004D51E8" w:rsidP="004D51E8">
      <w:pPr>
        <w:spacing w:line="360" w:lineRule="auto"/>
        <w:ind w:firstLineChars="550" w:firstLine="1760"/>
        <w:rPr>
          <w:rFonts w:ascii="仿宋_GB2312" w:eastAsia="仿宋_GB2312"/>
          <w:sz w:val="32"/>
          <w:szCs w:val="32"/>
        </w:rPr>
      </w:pPr>
      <w:r>
        <w:rPr>
          <w:rFonts w:ascii="仿宋_GB2312" w:eastAsia="仿宋_GB2312" w:hint="eastAsia"/>
          <w:sz w:val="32"/>
          <w:szCs w:val="32"/>
        </w:rPr>
        <w:t>填报人：</w:t>
      </w:r>
    </w:p>
    <w:p w14:paraId="50F028F4" w14:textId="67802E90" w:rsidR="004D51E8" w:rsidRDefault="004D51E8" w:rsidP="004D51E8">
      <w:pPr>
        <w:spacing w:line="360" w:lineRule="auto"/>
        <w:ind w:firstLineChars="550" w:firstLine="1760"/>
        <w:rPr>
          <w:rFonts w:ascii="仿宋_GB2312" w:eastAsia="仿宋_GB2312"/>
          <w:sz w:val="32"/>
          <w:szCs w:val="32"/>
        </w:rPr>
      </w:pPr>
      <w:r>
        <w:rPr>
          <w:rFonts w:ascii="仿宋_GB2312" w:eastAsia="仿宋_GB2312" w:hint="eastAsia"/>
          <w:sz w:val="32"/>
          <w:szCs w:val="32"/>
        </w:rPr>
        <w:t>联系电话：</w:t>
      </w:r>
    </w:p>
    <w:p w14:paraId="285FFFD2" w14:textId="77777777" w:rsidR="004D51E8" w:rsidRDefault="004D51E8" w:rsidP="004D51E8">
      <w:pPr>
        <w:jc w:val="center"/>
        <w:rPr>
          <w:rFonts w:ascii="仿宋_GB2312" w:eastAsia="仿宋_GB2312"/>
          <w:sz w:val="32"/>
          <w:szCs w:val="32"/>
        </w:rPr>
      </w:pPr>
    </w:p>
    <w:p w14:paraId="05E5D357" w14:textId="77777777" w:rsidR="004D51E8" w:rsidRDefault="004D51E8" w:rsidP="004D51E8">
      <w:pPr>
        <w:jc w:val="center"/>
        <w:rPr>
          <w:rFonts w:ascii="宋体" w:hAnsi="宋体"/>
          <w:sz w:val="44"/>
          <w:szCs w:val="44"/>
        </w:rPr>
      </w:pPr>
    </w:p>
    <w:p w14:paraId="5CE95EFC" w14:textId="77777777" w:rsidR="004D51E8" w:rsidRDefault="004D51E8" w:rsidP="004D51E8">
      <w:pPr>
        <w:rPr>
          <w:rFonts w:ascii="宋体" w:hAnsi="宋体"/>
          <w:sz w:val="44"/>
          <w:szCs w:val="44"/>
        </w:rPr>
      </w:pPr>
    </w:p>
    <w:p w14:paraId="7FEDD417" w14:textId="77777777" w:rsidR="004D51E8" w:rsidRDefault="004D51E8" w:rsidP="004D51E8">
      <w:pPr>
        <w:snapToGrid w:val="0"/>
        <w:spacing w:line="580" w:lineRule="exact"/>
        <w:ind w:firstLineChars="200" w:firstLine="640"/>
        <w:rPr>
          <w:rFonts w:ascii="黑体" w:eastAsia="黑体" w:hAnsi="黑体" w:cs="黑体"/>
          <w:bCs/>
          <w:sz w:val="32"/>
          <w:szCs w:val="32"/>
        </w:rPr>
      </w:pPr>
      <w:r>
        <w:rPr>
          <w:rFonts w:ascii="黑体" w:eastAsia="黑体" w:hAnsi="黑体" w:cs="黑体" w:hint="eastAsia"/>
          <w:bCs/>
          <w:sz w:val="32"/>
          <w:szCs w:val="32"/>
        </w:rPr>
        <w:lastRenderedPageBreak/>
        <w:t>一、基本情况</w:t>
      </w:r>
    </w:p>
    <w:p w14:paraId="61EE81CC" w14:textId="77777777" w:rsidR="004D51E8" w:rsidRPr="004D51E8" w:rsidRDefault="004D51E8" w:rsidP="004D51E8">
      <w:pPr>
        <w:snapToGrid w:val="0"/>
        <w:spacing w:line="580" w:lineRule="exact"/>
        <w:ind w:firstLineChars="200" w:firstLine="643"/>
        <w:rPr>
          <w:rFonts w:ascii="楷体_GB2312" w:eastAsia="楷体_GB2312" w:hAnsi="楷体" w:cs="仿宋_GB2312"/>
          <w:b/>
          <w:bCs/>
          <w:sz w:val="32"/>
          <w:szCs w:val="32"/>
        </w:rPr>
      </w:pPr>
      <w:r w:rsidRPr="004D51E8">
        <w:rPr>
          <w:rFonts w:ascii="楷体_GB2312" w:eastAsia="楷体_GB2312" w:hAnsi="楷体" w:cs="仿宋_GB2312" w:hint="eastAsia"/>
          <w:b/>
          <w:bCs/>
          <w:sz w:val="32"/>
          <w:szCs w:val="32"/>
        </w:rPr>
        <w:t>（一）主要职能。</w:t>
      </w:r>
    </w:p>
    <w:p w14:paraId="15F64A4D" w14:textId="77777777" w:rsidR="004D51E8" w:rsidRDefault="004D51E8" w:rsidP="004D51E8">
      <w:pPr>
        <w:snapToGrid w:val="0"/>
        <w:spacing w:line="580" w:lineRule="exact"/>
        <w:ind w:firstLineChars="200" w:firstLine="640"/>
        <w:rPr>
          <w:rFonts w:ascii="仿宋_GB2312" w:eastAsia="仿宋_GB2312" w:hAnsi="Adobe 楷体 Std R"/>
          <w:color w:val="000000"/>
          <w:sz w:val="32"/>
          <w:szCs w:val="32"/>
        </w:rPr>
      </w:pPr>
      <w:r>
        <w:rPr>
          <w:rFonts w:ascii="仿宋_GB2312" w:eastAsia="仿宋_GB2312" w:hAnsi="Adobe 楷体 Std R" w:hint="eastAsia"/>
          <w:color w:val="000000"/>
          <w:sz w:val="32"/>
          <w:szCs w:val="32"/>
        </w:rPr>
        <w:t>南方科技大学（以下简称“我校”）为广东省人民政府管理、深圳市人民政府举办的事业单位，系多科性、研究型学校，是深圳在中国高等教育改革发展的宏观背景下创建的一所高起点、高定位的公办创新型大学，以培养创新型人才为核心，通过知识创新和技术创新，为地方和国家发展服务，探索建立具有中国特色的现代大学制度；以理、工、</w:t>
      </w:r>
      <w:proofErr w:type="gramStart"/>
      <w:r>
        <w:rPr>
          <w:rFonts w:ascii="仿宋_GB2312" w:eastAsia="仿宋_GB2312" w:hAnsi="Adobe 楷体 Std R" w:hint="eastAsia"/>
          <w:color w:val="000000"/>
          <w:sz w:val="32"/>
          <w:szCs w:val="32"/>
        </w:rPr>
        <w:t>医</w:t>
      </w:r>
      <w:proofErr w:type="gramEnd"/>
      <w:r>
        <w:rPr>
          <w:rFonts w:ascii="仿宋_GB2312" w:eastAsia="仿宋_GB2312" w:hAnsi="Adobe 楷体 Std R" w:hint="eastAsia"/>
          <w:color w:val="000000"/>
          <w:sz w:val="32"/>
          <w:szCs w:val="32"/>
        </w:rPr>
        <w:t>为主，兼具商科和特色人文社科的多元化学科，在本科、硕士、博士层次办学，开展相关科学研究、学术交流等，培养高等学历人才，促进科技文化发展。</w:t>
      </w:r>
    </w:p>
    <w:p w14:paraId="248D21A0" w14:textId="77777777" w:rsidR="004D51E8" w:rsidRPr="004D51E8" w:rsidRDefault="004D51E8" w:rsidP="004D51E8">
      <w:pPr>
        <w:snapToGrid w:val="0"/>
        <w:spacing w:line="580" w:lineRule="exact"/>
        <w:ind w:firstLineChars="200" w:firstLine="643"/>
        <w:rPr>
          <w:rFonts w:ascii="楷体_GB2312" w:eastAsia="楷体_GB2312" w:hAnsi="楷体" w:cs="仿宋_GB2312"/>
          <w:b/>
          <w:bCs/>
          <w:sz w:val="32"/>
          <w:szCs w:val="32"/>
        </w:rPr>
      </w:pPr>
      <w:r w:rsidRPr="004D51E8">
        <w:rPr>
          <w:rFonts w:ascii="楷体_GB2312" w:eastAsia="楷体_GB2312" w:hAnsi="楷体" w:cs="仿宋_GB2312" w:hint="eastAsia"/>
          <w:b/>
          <w:bCs/>
          <w:sz w:val="32"/>
          <w:szCs w:val="32"/>
        </w:rPr>
        <w:t>（二）年度总体工作和重点工作任务。</w:t>
      </w:r>
    </w:p>
    <w:p w14:paraId="554FACB3" w14:textId="77777777" w:rsidR="004D51E8" w:rsidRDefault="004D51E8" w:rsidP="004D51E8">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我校的办学目标是快速建成国际化高水平研究型大学，成为聚集和培养拔尖创新人才的学府以及创造国际一流学术成果，推动科技应用，支撑国家、广东省及深圳市可持续发展的平台。</w:t>
      </w:r>
    </w:p>
    <w:p w14:paraId="6CA123FE" w14:textId="77777777" w:rsidR="004D51E8" w:rsidRDefault="004D51E8" w:rsidP="004D51E8">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高远的办学目标需要逐步达成，鲜明的办学特色需要逐步打造。根据发展规划，我校将分为三个阶段实现建设扎根中国大地的世界一流研究型大学的办学目标：</w:t>
      </w:r>
    </w:p>
    <w:p w14:paraId="7CEEC6B9" w14:textId="77777777" w:rsidR="004D51E8" w:rsidRDefault="004D51E8" w:rsidP="004D51E8">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近期2020年：初步构建完成南科大特色办学体系，特色学科达到国内先进水平，整体办学实力基本达到国内一流研究型大学办学标准。</w:t>
      </w:r>
    </w:p>
    <w:p w14:paraId="6F4AA65C" w14:textId="77777777" w:rsidR="004D51E8" w:rsidRDefault="004D51E8" w:rsidP="004D51E8">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中期2025年：国际高端人才领衔学科团队，社会声誉和国际影响力显著提升，研究型大学特征及其精神高地和文化</w:t>
      </w:r>
      <w:r>
        <w:rPr>
          <w:rFonts w:ascii="仿宋_GB2312" w:eastAsia="仿宋_GB2312" w:hAnsi="仿宋_GB2312" w:cs="仿宋_GB2312" w:hint="eastAsia"/>
          <w:sz w:val="32"/>
          <w:szCs w:val="32"/>
        </w:rPr>
        <w:lastRenderedPageBreak/>
        <w:t>底蕴彰显，成为中国最好的大学之一，建成国际化高水平研究型大学。</w:t>
      </w:r>
    </w:p>
    <w:p w14:paraId="1DDCFAB4" w14:textId="77777777" w:rsidR="004D51E8" w:rsidRDefault="004D51E8" w:rsidP="004D51E8">
      <w:pPr>
        <w:snapToGrid w:val="0"/>
        <w:spacing w:line="580" w:lineRule="exact"/>
        <w:ind w:firstLineChars="200" w:firstLine="640"/>
        <w:rPr>
          <w:rFonts w:ascii="仿宋_GB2312" w:eastAsia="仿宋_GB2312" w:hAnsi="仿宋_GB2312" w:cs="仿宋_GB2312"/>
          <w:sz w:val="32"/>
          <w:szCs w:val="32"/>
        </w:rPr>
      </w:pPr>
      <w:proofErr w:type="gramStart"/>
      <w:r>
        <w:rPr>
          <w:rFonts w:ascii="仿宋_GB2312" w:eastAsia="仿宋_GB2312" w:hAnsi="仿宋_GB2312" w:cs="仿宋_GB2312" w:hint="eastAsia"/>
          <w:sz w:val="32"/>
          <w:szCs w:val="32"/>
        </w:rPr>
        <w:t>愿景</w:t>
      </w:r>
      <w:proofErr w:type="gramEnd"/>
      <w:r>
        <w:rPr>
          <w:rFonts w:ascii="仿宋_GB2312" w:eastAsia="仿宋_GB2312" w:hAnsi="仿宋_GB2312" w:cs="仿宋_GB2312" w:hint="eastAsia"/>
          <w:sz w:val="32"/>
          <w:szCs w:val="32"/>
        </w:rPr>
        <w:t xml:space="preserve"> 2049年：成为扎根中国大地、具有深厚文化底蕴的世界一流研究型大学，培养具有全球视野和国际创新创业能力的精英人才，推动、引领中国乃至世界教育和科技发展。</w:t>
      </w:r>
    </w:p>
    <w:p w14:paraId="418A98CB" w14:textId="77777777" w:rsidR="004D51E8" w:rsidRDefault="004D51E8" w:rsidP="004D51E8">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我校2020年重点工作任务：</w:t>
      </w:r>
    </w:p>
    <w:p w14:paraId="7D146F92" w14:textId="77777777" w:rsidR="004D51E8" w:rsidRDefault="004D51E8" w:rsidP="004D51E8">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1.进一步提升高水平大学建设的质量和成效；</w:t>
      </w:r>
    </w:p>
    <w:p w14:paraId="14092D5A" w14:textId="77777777" w:rsidR="004D51E8" w:rsidRDefault="004D51E8" w:rsidP="004D51E8">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2.创新办学理念，拼搏创业实现快速发展；</w:t>
      </w:r>
    </w:p>
    <w:p w14:paraId="3F1D8C2B" w14:textId="77777777" w:rsidR="004D51E8" w:rsidRDefault="004D51E8" w:rsidP="004D51E8">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3.创新治理体系，探索中国特色现代大学制度；</w:t>
      </w:r>
    </w:p>
    <w:p w14:paraId="6B97297B" w14:textId="77777777" w:rsidR="004D51E8" w:rsidRDefault="004D51E8" w:rsidP="004D51E8">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4.创新培养模式，形成拔尖创新人才培养特色；</w:t>
      </w:r>
    </w:p>
    <w:p w14:paraId="211F480D" w14:textId="77777777" w:rsidR="004D51E8" w:rsidRDefault="004D51E8" w:rsidP="004D51E8">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5.创新人事管理，打造国际化高水平师资队伍；</w:t>
      </w:r>
    </w:p>
    <w:p w14:paraId="481BD1A5" w14:textId="77777777" w:rsidR="004D51E8" w:rsidRDefault="004D51E8" w:rsidP="004D51E8">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6.创新科研制度，科学研究不断取得新突破；</w:t>
      </w:r>
    </w:p>
    <w:p w14:paraId="6E46863F" w14:textId="77777777" w:rsidR="004D51E8" w:rsidRDefault="004D51E8" w:rsidP="004D51E8">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7.创新社会服务，支持城市建设和产业发展；</w:t>
      </w:r>
    </w:p>
    <w:p w14:paraId="229920E4" w14:textId="77777777" w:rsidR="004D51E8" w:rsidRDefault="004D51E8" w:rsidP="004D51E8">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8.创新党建工作，实现党建与</w:t>
      </w:r>
      <w:proofErr w:type="gramStart"/>
      <w:r>
        <w:rPr>
          <w:rFonts w:ascii="仿宋_GB2312" w:eastAsia="仿宋_GB2312" w:hAnsi="仿宋_GB2312" w:cs="仿宋_GB2312" w:hint="eastAsia"/>
          <w:sz w:val="32"/>
          <w:szCs w:val="32"/>
        </w:rPr>
        <w:t>办学双融双促</w:t>
      </w:r>
      <w:proofErr w:type="gramEnd"/>
      <w:r>
        <w:rPr>
          <w:rFonts w:ascii="仿宋_GB2312" w:eastAsia="仿宋_GB2312" w:hAnsi="仿宋_GB2312" w:cs="仿宋_GB2312" w:hint="eastAsia"/>
          <w:sz w:val="32"/>
          <w:szCs w:val="32"/>
        </w:rPr>
        <w:t>；</w:t>
      </w:r>
    </w:p>
    <w:p w14:paraId="678F83FF" w14:textId="77777777" w:rsidR="004D51E8" w:rsidRDefault="004D51E8" w:rsidP="004D51E8">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9.继续完善新校园功能使用，加快推动续建项目建设工作；</w:t>
      </w:r>
    </w:p>
    <w:p w14:paraId="07C7BE2F" w14:textId="77777777" w:rsidR="004D51E8" w:rsidRDefault="004D51E8" w:rsidP="004D51E8">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10.继续推进研究生招生及学位授予权申报工作；</w:t>
      </w:r>
    </w:p>
    <w:p w14:paraId="14D7BDCF" w14:textId="77777777" w:rsidR="004D51E8" w:rsidRDefault="004D51E8" w:rsidP="004D51E8">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11.继续加强财务管理，加大筹资力度；</w:t>
      </w:r>
    </w:p>
    <w:p w14:paraId="33997289" w14:textId="77777777" w:rsidR="004D51E8" w:rsidRDefault="004D51E8" w:rsidP="004D51E8">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12.继续加强后勤服务保障工作。</w:t>
      </w:r>
    </w:p>
    <w:p w14:paraId="20CBBE6C" w14:textId="77777777" w:rsidR="004D51E8" w:rsidRPr="004D51E8" w:rsidRDefault="004D51E8" w:rsidP="004D51E8">
      <w:pPr>
        <w:snapToGrid w:val="0"/>
        <w:spacing w:line="580" w:lineRule="exact"/>
        <w:ind w:firstLineChars="200" w:firstLine="643"/>
        <w:rPr>
          <w:rFonts w:ascii="楷体_GB2312" w:eastAsia="楷体_GB2312" w:hAnsi="楷体" w:cs="仿宋_GB2312"/>
          <w:b/>
          <w:bCs/>
          <w:sz w:val="32"/>
          <w:szCs w:val="32"/>
        </w:rPr>
      </w:pPr>
      <w:r w:rsidRPr="004D51E8">
        <w:rPr>
          <w:rFonts w:ascii="楷体_GB2312" w:eastAsia="楷体_GB2312" w:hAnsi="楷体" w:cs="仿宋_GB2312" w:hint="eastAsia"/>
          <w:b/>
          <w:bCs/>
          <w:sz w:val="32"/>
          <w:szCs w:val="32"/>
        </w:rPr>
        <w:t>（三）2020年部门预算编制情况。</w:t>
      </w:r>
    </w:p>
    <w:p w14:paraId="4355081B" w14:textId="77777777" w:rsidR="004D51E8" w:rsidRDefault="004D51E8" w:rsidP="004D51E8">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照市本级2020年度预算编制要求，我校组织开展了部门预算“一上”编制工作，对各支出事项按程序进行了测算评审，并按时完成“一上”申报。根据市财政局预算评审后下达的“一下”预算控制数，我校进一步细化项目预算，</w:t>
      </w:r>
      <w:r>
        <w:rPr>
          <w:rFonts w:ascii="仿宋_GB2312" w:eastAsia="仿宋_GB2312" w:hAnsi="仿宋_GB2312" w:cs="仿宋_GB2312" w:hint="eastAsia"/>
          <w:sz w:val="32"/>
          <w:szCs w:val="32"/>
        </w:rPr>
        <w:lastRenderedPageBreak/>
        <w:t>完成“二上”预算编报，并按时报送预算草案。我校预算编制符合财政部门关于预算编制的要求和规范、与单位履职紧密相关，绩效目标填报内容完整、依据充分、符合实际，绩效指标较为清晰，对指标值进行细化量化，后期绩效监控和绩效自评可衡量。</w:t>
      </w:r>
    </w:p>
    <w:p w14:paraId="3024C99A" w14:textId="77777777" w:rsidR="004D51E8" w:rsidRPr="004D51E8" w:rsidRDefault="004D51E8" w:rsidP="004D51E8">
      <w:pPr>
        <w:snapToGrid w:val="0"/>
        <w:spacing w:line="580" w:lineRule="exact"/>
        <w:ind w:firstLineChars="200" w:firstLine="643"/>
        <w:rPr>
          <w:rFonts w:ascii="楷体_GB2312" w:eastAsia="楷体_GB2312" w:hAnsi="楷体"/>
          <w:b/>
          <w:sz w:val="32"/>
          <w:szCs w:val="32"/>
        </w:rPr>
      </w:pPr>
      <w:r w:rsidRPr="004D51E8">
        <w:rPr>
          <w:rFonts w:ascii="楷体_GB2312" w:eastAsia="楷体_GB2312" w:hAnsi="楷体" w:hint="eastAsia"/>
          <w:b/>
          <w:sz w:val="32"/>
          <w:szCs w:val="32"/>
        </w:rPr>
        <w:t>（四）2020年部门预算执行情况。</w:t>
      </w:r>
    </w:p>
    <w:p w14:paraId="0E56F1F7" w14:textId="77777777" w:rsidR="004D51E8" w:rsidRDefault="004D51E8" w:rsidP="004D51E8">
      <w:pPr>
        <w:pStyle w:val="a7"/>
        <w:spacing w:line="560" w:lineRule="exact"/>
        <w:ind w:firstLine="643"/>
        <w:rPr>
          <w:rFonts w:hAnsi="Times New Roman" w:cs="Times New Roman"/>
          <w:b/>
          <w:bCs/>
          <w:sz w:val="32"/>
        </w:rPr>
      </w:pPr>
      <w:r>
        <w:rPr>
          <w:rFonts w:hint="eastAsia"/>
          <w:b/>
          <w:bCs/>
          <w:sz w:val="32"/>
        </w:rPr>
        <w:t>1.预算安排情况</w:t>
      </w:r>
    </w:p>
    <w:p w14:paraId="388D3C1D" w14:textId="77777777" w:rsidR="004D51E8" w:rsidRDefault="004D51E8" w:rsidP="004D51E8">
      <w:pPr>
        <w:snapToGrid w:val="0"/>
        <w:spacing w:line="580" w:lineRule="exact"/>
        <w:ind w:firstLineChars="200" w:firstLine="640"/>
        <w:rPr>
          <w:rFonts w:ascii="仿宋_GB2312" w:eastAsia="仿宋_GB2312" w:hAnsi="楷体_GB2312" w:cs="楷体_GB2312"/>
          <w:bCs/>
          <w:sz w:val="32"/>
          <w:szCs w:val="32"/>
        </w:rPr>
      </w:pPr>
      <w:r>
        <w:rPr>
          <w:rFonts w:ascii="仿宋_GB2312" w:eastAsia="仿宋_GB2312" w:hAnsi="楷体_GB2312" w:cs="楷体_GB2312" w:hint="eastAsia"/>
          <w:bCs/>
          <w:sz w:val="32"/>
          <w:szCs w:val="32"/>
        </w:rPr>
        <w:t>我校2020年部门预算经市六届人大八次会议审议通过，根据《预算法》和国务院关于财政预算管理的有关规定，市财政局批复我校2020年度部门预算如下：</w:t>
      </w:r>
    </w:p>
    <w:p w14:paraId="1D4804E5" w14:textId="77777777" w:rsidR="004D51E8" w:rsidRDefault="004D51E8" w:rsidP="004D51E8">
      <w:pPr>
        <w:spacing w:line="580" w:lineRule="exact"/>
        <w:ind w:firstLineChars="196" w:firstLine="627"/>
        <w:rPr>
          <w:rFonts w:ascii="仿宋_GB2312" w:eastAsia="仿宋_GB2312" w:hAnsi="楷体_GB2312" w:cs="楷体_GB2312"/>
          <w:bCs/>
          <w:sz w:val="32"/>
          <w:szCs w:val="32"/>
        </w:rPr>
      </w:pPr>
      <w:r>
        <w:rPr>
          <w:rFonts w:ascii="仿宋_GB2312" w:eastAsia="仿宋_GB2312" w:hAnsi="楷体_GB2312" w:cs="楷体_GB2312" w:hint="eastAsia"/>
          <w:bCs/>
          <w:sz w:val="32"/>
          <w:szCs w:val="32"/>
        </w:rPr>
        <w:t>核定我校2020年总收入415,050万元，其中财政预算拨款收入409,093万元，包括：一般公共预算拨款409,093万元（含一般性经费拨款372,243万元、财政专项资金拨款11,293万元和政府投资项目拨款25,557万元）;事业收入等5,957万元（其中教育收费5,957万元）。</w:t>
      </w:r>
    </w:p>
    <w:p w14:paraId="6EF08F4B" w14:textId="77777777" w:rsidR="004D51E8" w:rsidRDefault="004D51E8" w:rsidP="004D51E8">
      <w:pPr>
        <w:spacing w:line="580" w:lineRule="exact"/>
        <w:ind w:firstLineChars="196" w:firstLine="627"/>
        <w:rPr>
          <w:rFonts w:ascii="仿宋_GB2312" w:eastAsia="仿宋_GB2312" w:hAnsi="楷体_GB2312" w:cs="楷体_GB2312"/>
          <w:bCs/>
          <w:sz w:val="32"/>
          <w:szCs w:val="32"/>
        </w:rPr>
      </w:pPr>
      <w:r>
        <w:rPr>
          <w:rFonts w:ascii="仿宋_GB2312" w:eastAsia="仿宋_GB2312" w:hAnsi="楷体_GB2312" w:cs="楷体_GB2312" w:hint="eastAsia"/>
          <w:bCs/>
          <w:sz w:val="32"/>
          <w:szCs w:val="32"/>
        </w:rPr>
        <w:t>核定我校2020年总支出415,050万元,其中基本支出120,399万元，项目支出294,651万元。主要包括：一般公共预算支出409,093万元（基本支出120,399万元，项目支出288,694万元），其他支出5,957万元。</w:t>
      </w:r>
    </w:p>
    <w:p w14:paraId="1DB622BD" w14:textId="77777777" w:rsidR="004D51E8" w:rsidRDefault="004D51E8" w:rsidP="004D51E8">
      <w:pPr>
        <w:spacing w:line="580" w:lineRule="exact"/>
        <w:ind w:firstLineChars="196" w:firstLine="630"/>
        <w:rPr>
          <w:rFonts w:ascii="仿宋_GB2312" w:eastAsia="仿宋_GB2312"/>
          <w:b/>
          <w:bCs/>
          <w:kern w:val="0"/>
          <w:sz w:val="32"/>
          <w:szCs w:val="28"/>
          <w:lang w:val="zh-CN"/>
        </w:rPr>
      </w:pPr>
      <w:r>
        <w:rPr>
          <w:rFonts w:ascii="仿宋_GB2312" w:eastAsia="仿宋_GB2312" w:hint="eastAsia"/>
          <w:b/>
          <w:bCs/>
          <w:kern w:val="0"/>
          <w:sz w:val="32"/>
          <w:szCs w:val="28"/>
          <w:lang w:val="zh-CN"/>
        </w:rPr>
        <w:t>2.预算执行情况</w:t>
      </w:r>
    </w:p>
    <w:p w14:paraId="6F5F751D" w14:textId="77777777" w:rsidR="004D51E8" w:rsidRDefault="004D51E8" w:rsidP="004D51E8">
      <w:pPr>
        <w:spacing w:line="580" w:lineRule="exact"/>
        <w:ind w:firstLineChars="196" w:firstLine="627"/>
        <w:rPr>
          <w:rFonts w:ascii="仿宋_GB2312" w:eastAsia="仿宋_GB2312" w:hAnsi="楷体_GB2312" w:cs="楷体_GB2312"/>
          <w:bCs/>
          <w:sz w:val="32"/>
          <w:szCs w:val="32"/>
        </w:rPr>
      </w:pPr>
      <w:r>
        <w:rPr>
          <w:rFonts w:ascii="仿宋_GB2312" w:eastAsia="仿宋_GB2312" w:hAnsi="楷体_GB2312" w:cs="楷体_GB2312" w:hint="eastAsia"/>
          <w:bCs/>
          <w:sz w:val="32"/>
          <w:szCs w:val="32"/>
        </w:rPr>
        <w:t>按市财政局指标统计口径，我校2020年度实际指标下达462,140.66万元，实际支出424,588.94万元，执行率91.87%。</w:t>
      </w:r>
    </w:p>
    <w:p w14:paraId="3C1CCC2D" w14:textId="7313B8C3" w:rsidR="004D51E8" w:rsidRDefault="004D51E8" w:rsidP="004D51E8">
      <w:pPr>
        <w:spacing w:line="580" w:lineRule="exact"/>
        <w:ind w:firstLineChars="196" w:firstLine="627"/>
        <w:rPr>
          <w:rFonts w:ascii="仿宋_GB2312" w:eastAsia="仿宋_GB2312" w:hAnsi="楷体_GB2312" w:cs="楷体_GB2312"/>
          <w:bCs/>
          <w:sz w:val="32"/>
          <w:szCs w:val="32"/>
        </w:rPr>
      </w:pPr>
      <w:r>
        <w:rPr>
          <w:rFonts w:ascii="仿宋_GB2312" w:eastAsia="仿宋_GB2312" w:hAnsi="楷体_GB2312" w:cs="楷体_GB2312" w:hint="eastAsia"/>
          <w:bCs/>
          <w:sz w:val="32"/>
          <w:szCs w:val="32"/>
        </w:rPr>
        <w:t>按决算口径，我校2020年度总收入477,178万元，其中</w:t>
      </w:r>
      <w:r>
        <w:rPr>
          <w:rFonts w:ascii="仿宋_GB2312" w:eastAsia="仿宋_GB2312" w:hAnsi="楷体_GB2312" w:cs="楷体_GB2312" w:hint="eastAsia"/>
          <w:bCs/>
          <w:sz w:val="32"/>
          <w:szCs w:val="32"/>
        </w:rPr>
        <w:lastRenderedPageBreak/>
        <w:t>财政拨款收入418,632万元，事业收入58,518万元，其他收入28万元；我校2020年度总支出446,467万元，其中基本支出109,352万元，项目支出337,115万元。</w:t>
      </w:r>
    </w:p>
    <w:p w14:paraId="37D1B0E4" w14:textId="77777777" w:rsidR="004D51E8" w:rsidRDefault="004D51E8" w:rsidP="004D51E8">
      <w:pPr>
        <w:spacing w:line="580" w:lineRule="exact"/>
        <w:ind w:firstLineChars="196" w:firstLine="627"/>
        <w:rPr>
          <w:rFonts w:ascii="黑体" w:eastAsia="黑体" w:hAnsi="黑体"/>
          <w:sz w:val="32"/>
          <w:szCs w:val="32"/>
        </w:rPr>
      </w:pPr>
      <w:r>
        <w:rPr>
          <w:rFonts w:ascii="黑体" w:eastAsia="黑体" w:hAnsi="黑体" w:hint="eastAsia"/>
          <w:sz w:val="32"/>
          <w:szCs w:val="32"/>
        </w:rPr>
        <w:t>二、部门主要履职绩效分析</w:t>
      </w:r>
    </w:p>
    <w:p w14:paraId="027BECCE" w14:textId="77777777" w:rsidR="004D51E8" w:rsidRPr="004D51E8" w:rsidRDefault="004D51E8" w:rsidP="004D51E8">
      <w:pPr>
        <w:spacing w:line="580" w:lineRule="exact"/>
        <w:ind w:firstLineChars="200" w:firstLine="643"/>
        <w:rPr>
          <w:rFonts w:ascii="楷体_GB2312" w:eastAsia="楷体_GB2312" w:hAnsi="楷体"/>
          <w:b/>
          <w:sz w:val="32"/>
          <w:szCs w:val="32"/>
        </w:rPr>
      </w:pPr>
      <w:r w:rsidRPr="004D51E8">
        <w:rPr>
          <w:rFonts w:ascii="楷体_GB2312" w:eastAsia="楷体_GB2312" w:hAnsi="楷体" w:hint="eastAsia"/>
          <w:b/>
          <w:sz w:val="32"/>
          <w:szCs w:val="32"/>
        </w:rPr>
        <w:t>（一）主要履职目标</w:t>
      </w:r>
    </w:p>
    <w:p w14:paraId="6738435F" w14:textId="77777777" w:rsidR="004D51E8" w:rsidRDefault="004D51E8" w:rsidP="004D51E8">
      <w:pPr>
        <w:spacing w:line="580" w:lineRule="exact"/>
        <w:ind w:firstLineChars="200" w:firstLine="640"/>
        <w:rPr>
          <w:rFonts w:ascii="仿宋_GB2312" w:eastAsia="仿宋_GB2312" w:hAnsi="楷体_GB2312" w:cs="楷体_GB2312"/>
          <w:bCs/>
          <w:sz w:val="32"/>
          <w:szCs w:val="32"/>
        </w:rPr>
      </w:pPr>
      <w:r>
        <w:rPr>
          <w:rFonts w:ascii="仿宋_GB2312" w:eastAsia="仿宋_GB2312" w:hAnsi="楷体_GB2312" w:cs="楷体_GB2312" w:hint="eastAsia"/>
          <w:bCs/>
          <w:sz w:val="32"/>
          <w:szCs w:val="32"/>
        </w:rPr>
        <w:t>我校2020年度主要履职目标有以下六点：</w:t>
      </w:r>
    </w:p>
    <w:p w14:paraId="747D779E" w14:textId="77777777" w:rsidR="004D51E8" w:rsidRDefault="004D51E8" w:rsidP="004D51E8">
      <w:pPr>
        <w:spacing w:line="580" w:lineRule="exact"/>
        <w:ind w:firstLineChars="200" w:firstLine="640"/>
        <w:rPr>
          <w:rFonts w:ascii="仿宋_GB2312" w:eastAsia="仿宋_GB2312" w:hAnsi="楷体_GB2312" w:cs="楷体_GB2312"/>
          <w:bCs/>
          <w:sz w:val="32"/>
          <w:szCs w:val="32"/>
        </w:rPr>
      </w:pPr>
      <w:r>
        <w:rPr>
          <w:rFonts w:ascii="仿宋_GB2312" w:eastAsia="仿宋_GB2312" w:hAnsi="楷体_GB2312" w:cs="楷体_GB2312" w:hint="eastAsia"/>
          <w:bCs/>
          <w:sz w:val="32"/>
          <w:szCs w:val="32"/>
        </w:rPr>
        <w:t>1.抓好党建工作，实现党建与办学“双融双促”；</w:t>
      </w:r>
    </w:p>
    <w:p w14:paraId="0C62CCA8" w14:textId="77777777" w:rsidR="004D51E8" w:rsidRDefault="004D51E8" w:rsidP="004D51E8">
      <w:pPr>
        <w:spacing w:line="580" w:lineRule="exact"/>
        <w:ind w:firstLineChars="200" w:firstLine="640"/>
        <w:rPr>
          <w:rFonts w:ascii="仿宋_GB2312" w:eastAsia="仿宋_GB2312" w:hAnsi="楷体_GB2312" w:cs="楷体_GB2312"/>
          <w:bCs/>
          <w:sz w:val="32"/>
          <w:szCs w:val="32"/>
        </w:rPr>
      </w:pPr>
      <w:r>
        <w:rPr>
          <w:rFonts w:ascii="仿宋_GB2312" w:eastAsia="仿宋_GB2312" w:hAnsi="楷体_GB2312" w:cs="楷体_GB2312" w:hint="eastAsia"/>
          <w:bCs/>
          <w:sz w:val="32"/>
          <w:szCs w:val="32"/>
        </w:rPr>
        <w:t>2.创新人才培养，完善本、硕、博人才培养体系；</w:t>
      </w:r>
    </w:p>
    <w:p w14:paraId="4551FE01" w14:textId="77777777" w:rsidR="004D51E8" w:rsidRDefault="004D51E8" w:rsidP="004D51E8">
      <w:pPr>
        <w:spacing w:line="580" w:lineRule="exact"/>
        <w:ind w:firstLineChars="200" w:firstLine="640"/>
        <w:rPr>
          <w:rFonts w:ascii="仿宋_GB2312" w:eastAsia="仿宋_GB2312" w:hAnsi="楷体_GB2312" w:cs="楷体_GB2312"/>
          <w:bCs/>
          <w:sz w:val="32"/>
          <w:szCs w:val="32"/>
        </w:rPr>
      </w:pPr>
      <w:r>
        <w:rPr>
          <w:rFonts w:ascii="仿宋_GB2312" w:eastAsia="仿宋_GB2312" w:hAnsi="楷体_GB2312" w:cs="楷体_GB2312" w:hint="eastAsia"/>
          <w:bCs/>
          <w:sz w:val="32"/>
          <w:szCs w:val="32"/>
        </w:rPr>
        <w:t>3.创新科研制度，科学研究取得新进展；</w:t>
      </w:r>
    </w:p>
    <w:p w14:paraId="758A564F" w14:textId="77777777" w:rsidR="004D51E8" w:rsidRDefault="004D51E8" w:rsidP="004D51E8">
      <w:pPr>
        <w:spacing w:line="580" w:lineRule="exact"/>
        <w:ind w:firstLineChars="200" w:firstLine="640"/>
        <w:rPr>
          <w:rFonts w:ascii="仿宋_GB2312" w:eastAsia="仿宋_GB2312" w:hAnsi="楷体_GB2312" w:cs="楷体_GB2312"/>
          <w:bCs/>
          <w:sz w:val="32"/>
          <w:szCs w:val="32"/>
        </w:rPr>
      </w:pPr>
      <w:r>
        <w:rPr>
          <w:rFonts w:ascii="仿宋_GB2312" w:eastAsia="仿宋_GB2312" w:hAnsi="楷体_GB2312" w:cs="楷体_GB2312" w:hint="eastAsia"/>
          <w:bCs/>
          <w:sz w:val="32"/>
          <w:szCs w:val="32"/>
        </w:rPr>
        <w:t>4.创新社会服务，支持城市建设和国家产业战略发展；</w:t>
      </w:r>
    </w:p>
    <w:p w14:paraId="571E0EC2" w14:textId="77777777" w:rsidR="004D51E8" w:rsidRDefault="004D51E8" w:rsidP="004D51E8">
      <w:pPr>
        <w:spacing w:line="580" w:lineRule="exact"/>
        <w:ind w:firstLineChars="200" w:firstLine="640"/>
        <w:rPr>
          <w:rFonts w:ascii="仿宋_GB2312" w:eastAsia="仿宋_GB2312" w:hAnsi="楷体_GB2312" w:cs="楷体_GB2312"/>
          <w:bCs/>
          <w:sz w:val="32"/>
          <w:szCs w:val="32"/>
        </w:rPr>
      </w:pPr>
      <w:r>
        <w:rPr>
          <w:rFonts w:ascii="仿宋_GB2312" w:eastAsia="仿宋_GB2312" w:hAnsi="楷体_GB2312" w:cs="楷体_GB2312" w:hint="eastAsia"/>
          <w:bCs/>
          <w:sz w:val="32"/>
          <w:szCs w:val="32"/>
        </w:rPr>
        <w:t>5.开展高标准、高要求人才“引育”工作;</w:t>
      </w:r>
    </w:p>
    <w:p w14:paraId="3728FE45" w14:textId="77777777" w:rsidR="004D51E8" w:rsidRDefault="004D51E8" w:rsidP="004D51E8">
      <w:pPr>
        <w:spacing w:line="580" w:lineRule="exact"/>
        <w:ind w:firstLineChars="200" w:firstLine="640"/>
        <w:rPr>
          <w:rFonts w:ascii="仿宋_GB2312" w:eastAsia="仿宋_GB2312" w:hAnsi="楷体_GB2312" w:cs="楷体_GB2312"/>
          <w:bCs/>
          <w:sz w:val="32"/>
          <w:szCs w:val="32"/>
        </w:rPr>
      </w:pPr>
      <w:r>
        <w:rPr>
          <w:rFonts w:ascii="仿宋_GB2312" w:eastAsia="仿宋_GB2312" w:hAnsi="楷体_GB2312" w:cs="楷体_GB2312" w:hint="eastAsia"/>
          <w:bCs/>
          <w:sz w:val="32"/>
          <w:szCs w:val="32"/>
        </w:rPr>
        <w:t>6.加快国际化办学进程，扩大国际影响力。</w:t>
      </w:r>
    </w:p>
    <w:p w14:paraId="3AAF7615" w14:textId="77777777" w:rsidR="004D51E8" w:rsidRDefault="004D51E8" w:rsidP="004D51E8">
      <w:pPr>
        <w:spacing w:line="580" w:lineRule="exact"/>
        <w:ind w:firstLineChars="200" w:firstLine="643"/>
        <w:rPr>
          <w:rFonts w:ascii="楷体_GB2312" w:eastAsia="楷体_GB2312" w:hAnsi="楷体"/>
          <w:b/>
          <w:sz w:val="32"/>
          <w:szCs w:val="32"/>
        </w:rPr>
      </w:pPr>
      <w:r>
        <w:rPr>
          <w:rFonts w:ascii="楷体_GB2312" w:eastAsia="楷体_GB2312" w:hAnsi="楷体" w:hint="eastAsia"/>
          <w:b/>
          <w:sz w:val="32"/>
          <w:szCs w:val="32"/>
        </w:rPr>
        <w:t>（二）主要履职情况</w:t>
      </w:r>
    </w:p>
    <w:p w14:paraId="7851D55F" w14:textId="77777777" w:rsidR="004D51E8" w:rsidRDefault="004D51E8" w:rsidP="004D51E8">
      <w:pPr>
        <w:spacing w:line="580" w:lineRule="exact"/>
        <w:ind w:firstLineChars="250" w:firstLine="803"/>
        <w:rPr>
          <w:rFonts w:ascii="仿宋_GB2312" w:eastAsia="仿宋_GB2312" w:hAnsi="楷体_GB2312" w:cs="楷体_GB2312"/>
          <w:bCs/>
          <w:sz w:val="32"/>
          <w:szCs w:val="32"/>
        </w:rPr>
      </w:pPr>
      <w:r>
        <w:rPr>
          <w:rFonts w:ascii="仿宋_GB2312" w:eastAsia="仿宋_GB2312" w:hAnsi="楷体_GB2312" w:cs="楷体_GB2312" w:hint="eastAsia"/>
          <w:b/>
          <w:sz w:val="32"/>
          <w:szCs w:val="32"/>
        </w:rPr>
        <w:t>贯彻落实“疫情就是命令，防控就是责任。”</w:t>
      </w:r>
      <w:r>
        <w:rPr>
          <w:rFonts w:ascii="仿宋_GB2312" w:eastAsia="仿宋_GB2312" w:hAnsi="楷体_GB2312" w:cs="楷体_GB2312" w:hint="eastAsia"/>
          <w:bCs/>
          <w:sz w:val="32"/>
          <w:szCs w:val="32"/>
        </w:rPr>
        <w:t>2020年自新冠肺炎疫情发生以来，我校师生上下同心，时刻紧绷疫情防控这根弦，有效落实各项防控要求，确保广大师生生命安全和身体健康，确保学校教学科研各项工作正常有序开展。精准制定各项方案，统筹学生分批次、分地区返校，确保2020届学生毕业安排有序进行。在学生集中返校前，统一提前为 2,296 间宿舍开窗通风和防疫消杀，学生返校后及时做好居家观察期间餐饮保障，累计送餐38,859人次。同时配合学校教学工作进度安排，提前为2020级新生来校报到做好统筹安排，我校成为全国最早开学的高校之一。</w:t>
      </w:r>
    </w:p>
    <w:p w14:paraId="7673A43B" w14:textId="77777777" w:rsidR="004D51E8" w:rsidRDefault="004D51E8" w:rsidP="004D51E8">
      <w:pPr>
        <w:spacing w:line="580" w:lineRule="exact"/>
        <w:ind w:firstLineChars="250" w:firstLine="803"/>
        <w:rPr>
          <w:rFonts w:ascii="仿宋_GB2312" w:eastAsia="仿宋_GB2312" w:hAnsi="楷体_GB2312" w:cs="楷体_GB2312"/>
          <w:bCs/>
          <w:sz w:val="32"/>
          <w:szCs w:val="32"/>
        </w:rPr>
      </w:pPr>
      <w:r>
        <w:rPr>
          <w:rFonts w:ascii="仿宋_GB2312" w:eastAsia="仿宋_GB2312" w:hAnsi="楷体_GB2312" w:cs="楷体_GB2312" w:hint="eastAsia"/>
          <w:b/>
          <w:sz w:val="32"/>
          <w:szCs w:val="32"/>
        </w:rPr>
        <w:t>严控与关爱多</w:t>
      </w:r>
      <w:proofErr w:type="gramStart"/>
      <w:r>
        <w:rPr>
          <w:rFonts w:ascii="仿宋_GB2312" w:eastAsia="仿宋_GB2312" w:hAnsi="楷体_GB2312" w:cs="楷体_GB2312" w:hint="eastAsia"/>
          <w:b/>
          <w:sz w:val="32"/>
          <w:szCs w:val="32"/>
        </w:rPr>
        <w:t>措</w:t>
      </w:r>
      <w:proofErr w:type="gramEnd"/>
      <w:r>
        <w:rPr>
          <w:rFonts w:ascii="仿宋_GB2312" w:eastAsia="仿宋_GB2312" w:hAnsi="楷体_GB2312" w:cs="楷体_GB2312" w:hint="eastAsia"/>
          <w:b/>
          <w:sz w:val="32"/>
          <w:szCs w:val="32"/>
        </w:rPr>
        <w:t>并举，做到疫情防控零事故。</w:t>
      </w:r>
      <w:r>
        <w:rPr>
          <w:rFonts w:ascii="仿宋_GB2312" w:eastAsia="仿宋_GB2312" w:hAnsi="楷体_GB2312" w:cs="楷体_GB2312" w:hint="eastAsia"/>
          <w:bCs/>
          <w:sz w:val="32"/>
          <w:szCs w:val="32"/>
        </w:rPr>
        <w:t>我校向</w:t>
      </w:r>
      <w:r>
        <w:rPr>
          <w:rFonts w:ascii="仿宋_GB2312" w:eastAsia="仿宋_GB2312" w:hAnsi="楷体_GB2312" w:cs="楷体_GB2312" w:hint="eastAsia"/>
          <w:bCs/>
          <w:sz w:val="32"/>
          <w:szCs w:val="32"/>
        </w:rPr>
        <w:lastRenderedPageBreak/>
        <w:t>256名湖北</w:t>
      </w:r>
      <w:proofErr w:type="gramStart"/>
      <w:r>
        <w:rPr>
          <w:rFonts w:ascii="仿宋_GB2312" w:eastAsia="仿宋_GB2312" w:hAnsi="楷体_GB2312" w:cs="楷体_GB2312" w:hint="eastAsia"/>
          <w:bCs/>
          <w:sz w:val="32"/>
          <w:szCs w:val="32"/>
        </w:rPr>
        <w:t>籍同学</w:t>
      </w:r>
      <w:proofErr w:type="gramEnd"/>
      <w:r>
        <w:rPr>
          <w:rFonts w:ascii="仿宋_GB2312" w:eastAsia="仿宋_GB2312" w:hAnsi="楷体_GB2312" w:cs="楷体_GB2312" w:hint="eastAsia"/>
          <w:bCs/>
          <w:sz w:val="32"/>
          <w:szCs w:val="32"/>
        </w:rPr>
        <w:t>发放慰问金，向281名家庭经济困难同学发放网课流量补贴；心理成长中心24小时值班,及时开通疫情心理专线电话，通过电话主动</w:t>
      </w:r>
      <w:proofErr w:type="gramStart"/>
      <w:r>
        <w:rPr>
          <w:rFonts w:ascii="仿宋_GB2312" w:eastAsia="仿宋_GB2312" w:hAnsi="楷体_GB2312" w:cs="楷体_GB2312" w:hint="eastAsia"/>
          <w:bCs/>
          <w:sz w:val="32"/>
          <w:szCs w:val="32"/>
        </w:rPr>
        <w:t>关怀受</w:t>
      </w:r>
      <w:proofErr w:type="gramEnd"/>
      <w:r>
        <w:rPr>
          <w:rFonts w:ascii="仿宋_GB2312" w:eastAsia="仿宋_GB2312" w:hAnsi="楷体_GB2312" w:cs="楷体_GB2312" w:hint="eastAsia"/>
          <w:bCs/>
          <w:sz w:val="32"/>
          <w:szCs w:val="32"/>
        </w:rPr>
        <w:t>疫情影响学生670余人次；举办线上专家讲座11场，开展线上微型团体辅导36场；在每日健康申报中嵌入心理自助测评和预约通道；就业指导中心保证了2020届湖北籍本、硕毕业生100%落实升学就业。在疫情防控最艰难的时候，校团委成立“抗</w:t>
      </w:r>
      <w:proofErr w:type="gramStart"/>
      <w:r>
        <w:rPr>
          <w:rFonts w:ascii="仿宋_GB2312" w:eastAsia="仿宋_GB2312" w:hAnsi="楷体_GB2312" w:cs="楷体_GB2312" w:hint="eastAsia"/>
          <w:bCs/>
          <w:sz w:val="32"/>
          <w:szCs w:val="32"/>
        </w:rPr>
        <w:t>疫</w:t>
      </w:r>
      <w:proofErr w:type="gramEnd"/>
      <w:r>
        <w:rPr>
          <w:rFonts w:ascii="仿宋_GB2312" w:eastAsia="仿宋_GB2312" w:hAnsi="楷体_GB2312" w:cs="楷体_GB2312" w:hint="eastAsia"/>
          <w:bCs/>
          <w:sz w:val="32"/>
          <w:szCs w:val="32"/>
        </w:rPr>
        <w:t>工作者子女手拉手专项志愿服务队”，为深圳抗</w:t>
      </w:r>
      <w:proofErr w:type="gramStart"/>
      <w:r>
        <w:rPr>
          <w:rFonts w:ascii="仿宋_GB2312" w:eastAsia="仿宋_GB2312" w:hAnsi="楷体_GB2312" w:cs="楷体_GB2312" w:hint="eastAsia"/>
          <w:bCs/>
          <w:sz w:val="32"/>
          <w:szCs w:val="32"/>
        </w:rPr>
        <w:t>疫</w:t>
      </w:r>
      <w:proofErr w:type="gramEnd"/>
      <w:r>
        <w:rPr>
          <w:rFonts w:ascii="仿宋_GB2312" w:eastAsia="仿宋_GB2312" w:hAnsi="楷体_GB2312" w:cs="楷体_GB2312" w:hint="eastAsia"/>
          <w:bCs/>
          <w:sz w:val="32"/>
          <w:szCs w:val="32"/>
        </w:rPr>
        <w:t>工作者的子女提供学业辅导服务，成功匹配145对志愿者和家庭，该项目在“中国青年志愿者”公众号进行宣传，“深视新闻”也对项目进行了特别报道。在疫情期间，鼓励党员、入党积极分子积极就近参加抗</w:t>
      </w:r>
      <w:proofErr w:type="gramStart"/>
      <w:r>
        <w:rPr>
          <w:rFonts w:ascii="仿宋_GB2312" w:eastAsia="仿宋_GB2312" w:hAnsi="楷体_GB2312" w:cs="楷体_GB2312" w:hint="eastAsia"/>
          <w:bCs/>
          <w:sz w:val="32"/>
          <w:szCs w:val="32"/>
        </w:rPr>
        <w:t>疫</w:t>
      </w:r>
      <w:proofErr w:type="gramEnd"/>
      <w:r>
        <w:rPr>
          <w:rFonts w:ascii="仿宋_GB2312" w:eastAsia="仿宋_GB2312" w:hAnsi="楷体_GB2312" w:cs="楷体_GB2312" w:hint="eastAsia"/>
          <w:bCs/>
          <w:sz w:val="32"/>
          <w:szCs w:val="32"/>
        </w:rPr>
        <w:t>志愿服务活动，以说唱的形式讲述</w:t>
      </w:r>
      <w:proofErr w:type="gramStart"/>
      <w:r>
        <w:rPr>
          <w:rFonts w:ascii="仿宋_GB2312" w:eastAsia="仿宋_GB2312" w:hAnsi="楷体_GB2312" w:cs="楷体_GB2312" w:hint="eastAsia"/>
          <w:bCs/>
          <w:sz w:val="32"/>
          <w:szCs w:val="32"/>
        </w:rPr>
        <w:t>南科学子</w:t>
      </w:r>
      <w:proofErr w:type="gramEnd"/>
      <w:r>
        <w:rPr>
          <w:rFonts w:ascii="仿宋_GB2312" w:eastAsia="仿宋_GB2312" w:hAnsi="楷体_GB2312" w:cs="楷体_GB2312" w:hint="eastAsia"/>
          <w:bCs/>
          <w:sz w:val="32"/>
          <w:szCs w:val="32"/>
        </w:rPr>
        <w:t>走出“小家”服务“大家”的战“疫”故事，展现新时代青年责任与担当的视频《微光》被广东共青团、“学习强国”等平台转发，受到了各方肯定和好评。</w:t>
      </w:r>
    </w:p>
    <w:p w14:paraId="4D705C0D" w14:textId="77777777" w:rsidR="004D51E8" w:rsidRDefault="004D51E8" w:rsidP="004D51E8">
      <w:pPr>
        <w:spacing w:line="580" w:lineRule="exact"/>
        <w:ind w:firstLineChars="250" w:firstLine="803"/>
        <w:rPr>
          <w:rFonts w:ascii="仿宋_GB2312" w:eastAsia="仿宋_GB2312" w:hAnsi="楷体_GB2312" w:cs="楷体_GB2312"/>
          <w:bCs/>
          <w:sz w:val="32"/>
          <w:szCs w:val="32"/>
        </w:rPr>
      </w:pPr>
      <w:r>
        <w:rPr>
          <w:rFonts w:ascii="仿宋_GB2312" w:eastAsia="仿宋_GB2312" w:hAnsi="楷体_GB2312" w:cs="楷体_GB2312" w:hint="eastAsia"/>
          <w:b/>
          <w:sz w:val="32"/>
          <w:szCs w:val="32"/>
        </w:rPr>
        <w:t>科技抗</w:t>
      </w:r>
      <w:proofErr w:type="gramStart"/>
      <w:r>
        <w:rPr>
          <w:rFonts w:ascii="仿宋_GB2312" w:eastAsia="仿宋_GB2312" w:hAnsi="楷体_GB2312" w:cs="楷体_GB2312" w:hint="eastAsia"/>
          <w:b/>
          <w:sz w:val="32"/>
          <w:szCs w:val="32"/>
        </w:rPr>
        <w:t>疫</w:t>
      </w:r>
      <w:proofErr w:type="gramEnd"/>
      <w:r>
        <w:rPr>
          <w:rFonts w:ascii="仿宋_GB2312" w:eastAsia="仿宋_GB2312" w:hAnsi="楷体_GB2312" w:cs="楷体_GB2312" w:hint="eastAsia"/>
          <w:b/>
          <w:sz w:val="32"/>
          <w:szCs w:val="32"/>
        </w:rPr>
        <w:t>，彰显了南科人的社会担当。</w:t>
      </w:r>
      <w:r>
        <w:rPr>
          <w:rFonts w:ascii="仿宋_GB2312" w:eastAsia="仿宋_GB2312" w:hAnsi="楷体_GB2312" w:cs="楷体_GB2312" w:hint="eastAsia"/>
          <w:bCs/>
          <w:sz w:val="32"/>
          <w:szCs w:val="32"/>
        </w:rPr>
        <w:t>在抗</w:t>
      </w:r>
      <w:proofErr w:type="gramStart"/>
      <w:r>
        <w:rPr>
          <w:rFonts w:ascii="仿宋_GB2312" w:eastAsia="仿宋_GB2312" w:hAnsi="楷体_GB2312" w:cs="楷体_GB2312" w:hint="eastAsia"/>
          <w:bCs/>
          <w:sz w:val="32"/>
          <w:szCs w:val="32"/>
        </w:rPr>
        <w:t>疫</w:t>
      </w:r>
      <w:proofErr w:type="gramEnd"/>
      <w:r>
        <w:rPr>
          <w:rFonts w:ascii="仿宋_GB2312" w:eastAsia="仿宋_GB2312" w:hAnsi="楷体_GB2312" w:cs="楷体_GB2312" w:hint="eastAsia"/>
          <w:bCs/>
          <w:sz w:val="32"/>
          <w:szCs w:val="32"/>
        </w:rPr>
        <w:t>过程中，我校科研工作者在抗</w:t>
      </w:r>
      <w:proofErr w:type="gramStart"/>
      <w:r>
        <w:rPr>
          <w:rFonts w:ascii="仿宋_GB2312" w:eastAsia="仿宋_GB2312" w:hAnsi="楷体_GB2312" w:cs="楷体_GB2312" w:hint="eastAsia"/>
          <w:bCs/>
          <w:sz w:val="32"/>
          <w:szCs w:val="32"/>
        </w:rPr>
        <w:t>疫</w:t>
      </w:r>
      <w:proofErr w:type="gramEnd"/>
      <w:r>
        <w:rPr>
          <w:rFonts w:ascii="仿宋_GB2312" w:eastAsia="仿宋_GB2312" w:hAnsi="楷体_GB2312" w:cs="楷体_GB2312" w:hint="eastAsia"/>
          <w:bCs/>
          <w:sz w:val="32"/>
          <w:szCs w:val="32"/>
        </w:rPr>
        <w:t>的关键时期牢记使命、坚守岗位，用科技抗</w:t>
      </w:r>
      <w:proofErr w:type="gramStart"/>
      <w:r>
        <w:rPr>
          <w:rFonts w:ascii="仿宋_GB2312" w:eastAsia="仿宋_GB2312" w:hAnsi="楷体_GB2312" w:cs="楷体_GB2312" w:hint="eastAsia"/>
          <w:bCs/>
          <w:sz w:val="32"/>
          <w:szCs w:val="32"/>
        </w:rPr>
        <w:t>疫</w:t>
      </w:r>
      <w:proofErr w:type="gramEnd"/>
      <w:r>
        <w:rPr>
          <w:rFonts w:ascii="仿宋_GB2312" w:eastAsia="仿宋_GB2312" w:hAnsi="楷体_GB2312" w:cs="楷体_GB2312" w:hint="eastAsia"/>
          <w:bCs/>
          <w:sz w:val="32"/>
          <w:szCs w:val="32"/>
        </w:rPr>
        <w:t>。2020年初新冠疫情爆发，医用护目镜起雾问题大大影响了医护人员的工作效率，我校材料科学与工程</w:t>
      </w:r>
      <w:proofErr w:type="gramStart"/>
      <w:r>
        <w:rPr>
          <w:rFonts w:ascii="仿宋_GB2312" w:eastAsia="仿宋_GB2312" w:hAnsi="楷体_GB2312" w:cs="楷体_GB2312" w:hint="eastAsia"/>
          <w:bCs/>
          <w:sz w:val="32"/>
          <w:szCs w:val="32"/>
        </w:rPr>
        <w:t>系孙大陟</w:t>
      </w:r>
      <w:proofErr w:type="gramEnd"/>
      <w:r>
        <w:rPr>
          <w:rFonts w:ascii="仿宋_GB2312" w:eastAsia="仿宋_GB2312" w:hAnsi="楷体_GB2312" w:cs="楷体_GB2312" w:hint="eastAsia"/>
          <w:bCs/>
          <w:sz w:val="32"/>
          <w:szCs w:val="32"/>
        </w:rPr>
        <w:t>副教授带领团队紧急攻关，研制出适用于医用护目镜的防雾消毒湿巾，产品保证了医护人员长时间佩戴护目镜不起雾，且无毒无害无刺激，并对护目镜起到清洁消毒的效果。防雾消毒产品在半个月内累计捐赠约100万片，送达20多个抗</w:t>
      </w:r>
      <w:proofErr w:type="gramStart"/>
      <w:r>
        <w:rPr>
          <w:rFonts w:ascii="仿宋_GB2312" w:eastAsia="仿宋_GB2312" w:hAnsi="楷体_GB2312" w:cs="楷体_GB2312" w:hint="eastAsia"/>
          <w:bCs/>
          <w:sz w:val="32"/>
          <w:szCs w:val="32"/>
        </w:rPr>
        <w:t>疫</w:t>
      </w:r>
      <w:proofErr w:type="gramEnd"/>
      <w:r>
        <w:rPr>
          <w:rFonts w:ascii="仿宋_GB2312" w:eastAsia="仿宋_GB2312" w:hAnsi="楷体_GB2312" w:cs="楷体_GB2312" w:hint="eastAsia"/>
          <w:bCs/>
          <w:sz w:val="32"/>
          <w:szCs w:val="32"/>
        </w:rPr>
        <w:t>单位，在科技抗</w:t>
      </w:r>
      <w:proofErr w:type="gramStart"/>
      <w:r>
        <w:rPr>
          <w:rFonts w:ascii="仿宋_GB2312" w:eastAsia="仿宋_GB2312" w:hAnsi="楷体_GB2312" w:cs="楷体_GB2312" w:hint="eastAsia"/>
          <w:bCs/>
          <w:sz w:val="32"/>
          <w:szCs w:val="32"/>
        </w:rPr>
        <w:t>疫</w:t>
      </w:r>
      <w:proofErr w:type="gramEnd"/>
      <w:r>
        <w:rPr>
          <w:rFonts w:ascii="仿宋_GB2312" w:eastAsia="仿宋_GB2312" w:hAnsi="楷体_GB2312" w:cs="楷体_GB2312" w:hint="eastAsia"/>
          <w:bCs/>
          <w:sz w:val="32"/>
          <w:szCs w:val="32"/>
        </w:rPr>
        <w:t>领域做出了突出贡献。由于孙大</w:t>
      </w:r>
      <w:proofErr w:type="gramStart"/>
      <w:r>
        <w:rPr>
          <w:rFonts w:ascii="仿宋_GB2312" w:eastAsia="仿宋_GB2312" w:hAnsi="楷体_GB2312" w:cs="楷体_GB2312" w:hint="eastAsia"/>
          <w:bCs/>
          <w:sz w:val="32"/>
          <w:szCs w:val="32"/>
        </w:rPr>
        <w:t>陟</w:t>
      </w:r>
      <w:proofErr w:type="gramEnd"/>
      <w:r>
        <w:rPr>
          <w:rFonts w:ascii="仿宋_GB2312" w:eastAsia="仿宋_GB2312" w:hAnsi="楷体_GB2312" w:cs="楷体_GB2312" w:hint="eastAsia"/>
          <w:bCs/>
          <w:sz w:val="32"/>
          <w:szCs w:val="32"/>
        </w:rPr>
        <w:t>在抗</w:t>
      </w:r>
      <w:proofErr w:type="gramStart"/>
      <w:r>
        <w:rPr>
          <w:rFonts w:ascii="仿宋_GB2312" w:eastAsia="仿宋_GB2312" w:hAnsi="楷体_GB2312" w:cs="楷体_GB2312" w:hint="eastAsia"/>
          <w:bCs/>
          <w:sz w:val="32"/>
          <w:szCs w:val="32"/>
        </w:rPr>
        <w:lastRenderedPageBreak/>
        <w:t>疫</w:t>
      </w:r>
      <w:proofErr w:type="gramEnd"/>
      <w:r>
        <w:rPr>
          <w:rFonts w:ascii="仿宋_GB2312" w:eastAsia="仿宋_GB2312" w:hAnsi="楷体_GB2312" w:cs="楷体_GB2312" w:hint="eastAsia"/>
          <w:bCs/>
          <w:sz w:val="32"/>
          <w:szCs w:val="32"/>
        </w:rPr>
        <w:t>期间的突出表现，经组织批准，他于2020年3月火线入党，成为我校建校以来第一位火线入党的同志。</w:t>
      </w:r>
    </w:p>
    <w:p w14:paraId="6A8838DC" w14:textId="77777777" w:rsidR="004D51E8" w:rsidRDefault="004D51E8" w:rsidP="004D51E8">
      <w:pPr>
        <w:spacing w:line="580" w:lineRule="exact"/>
        <w:ind w:firstLineChars="250" w:firstLine="803"/>
        <w:rPr>
          <w:rFonts w:ascii="仿宋_GB2312" w:eastAsia="仿宋_GB2312" w:hAnsi="楷体_GB2312" w:cs="楷体_GB2312"/>
          <w:bCs/>
          <w:sz w:val="32"/>
          <w:szCs w:val="32"/>
        </w:rPr>
      </w:pPr>
      <w:r>
        <w:rPr>
          <w:rFonts w:ascii="仿宋_GB2312" w:eastAsia="仿宋_GB2312" w:hAnsi="楷体_GB2312" w:cs="楷体_GB2312" w:hint="eastAsia"/>
          <w:b/>
          <w:sz w:val="32"/>
          <w:szCs w:val="32"/>
        </w:rPr>
        <w:t>完善重大疫情防控体制机制，健全公共卫生应急管理体系。</w:t>
      </w:r>
      <w:r>
        <w:rPr>
          <w:rFonts w:ascii="仿宋_GB2312" w:eastAsia="仿宋_GB2312" w:hAnsi="楷体_GB2312" w:cs="楷体_GB2312" w:hint="eastAsia"/>
          <w:bCs/>
          <w:sz w:val="32"/>
          <w:szCs w:val="32"/>
        </w:rPr>
        <w:t>2020年4月，我校就合作共建公共卫生及应急管理学院事宜，与深圳市卫健委、深圳市疾病预防控制中心、南科大第二附属医院（深圳市第三人民医院，简称“二附院”）签署备忘录和合作协议。公共卫生及应急管理学院由我校和二附院、</w:t>
      </w:r>
      <w:proofErr w:type="gramStart"/>
      <w:r>
        <w:rPr>
          <w:rFonts w:ascii="仿宋_GB2312" w:eastAsia="仿宋_GB2312" w:hAnsi="楷体_GB2312" w:cs="楷体_GB2312" w:hint="eastAsia"/>
          <w:bCs/>
          <w:sz w:val="32"/>
          <w:szCs w:val="32"/>
        </w:rPr>
        <w:t>市疾控中心</w:t>
      </w:r>
      <w:proofErr w:type="gramEnd"/>
      <w:r>
        <w:rPr>
          <w:rFonts w:ascii="仿宋_GB2312" w:eastAsia="仿宋_GB2312" w:hAnsi="楷体_GB2312" w:cs="楷体_GB2312" w:hint="eastAsia"/>
          <w:bCs/>
          <w:sz w:val="32"/>
          <w:szCs w:val="32"/>
        </w:rPr>
        <w:t>共同合作建设，目标是高定位、高标准、高质量建设国际一流的公共卫生及应急管理学院，培养更多社会所需要的公共卫生健康领域人才。</w:t>
      </w:r>
    </w:p>
    <w:p w14:paraId="06FA3D79" w14:textId="77777777" w:rsidR="004D51E8" w:rsidRDefault="004D51E8" w:rsidP="004D51E8">
      <w:pPr>
        <w:spacing w:line="580" w:lineRule="exact"/>
        <w:ind w:firstLineChars="250" w:firstLine="803"/>
        <w:rPr>
          <w:rFonts w:ascii="仿宋_GB2312" w:eastAsia="仿宋_GB2312"/>
          <w:b/>
          <w:bCs/>
          <w:sz w:val="32"/>
          <w:szCs w:val="32"/>
        </w:rPr>
      </w:pPr>
      <w:r>
        <w:rPr>
          <w:rFonts w:ascii="仿宋_GB2312" w:eastAsia="仿宋_GB2312" w:hint="eastAsia"/>
          <w:b/>
          <w:bCs/>
          <w:sz w:val="32"/>
          <w:szCs w:val="32"/>
        </w:rPr>
        <w:t>1.</w:t>
      </w:r>
      <w:r>
        <w:t xml:space="preserve"> </w:t>
      </w:r>
      <w:r>
        <w:rPr>
          <w:rFonts w:ascii="仿宋_GB2312" w:eastAsia="仿宋_GB2312" w:hint="eastAsia"/>
          <w:b/>
          <w:bCs/>
          <w:sz w:val="32"/>
          <w:szCs w:val="32"/>
        </w:rPr>
        <w:t>党建与办学“双融双促”</w:t>
      </w:r>
    </w:p>
    <w:p w14:paraId="4914ED80" w14:textId="77777777" w:rsidR="004D51E8" w:rsidRDefault="004D51E8" w:rsidP="004D51E8">
      <w:pPr>
        <w:spacing w:line="580" w:lineRule="exact"/>
        <w:ind w:firstLineChars="250" w:firstLine="800"/>
        <w:rPr>
          <w:rFonts w:ascii="仿宋_GB2312" w:eastAsia="仿宋_GB2312"/>
          <w:b/>
          <w:bCs/>
          <w:sz w:val="32"/>
          <w:szCs w:val="32"/>
        </w:rPr>
      </w:pPr>
      <w:r>
        <w:rPr>
          <w:rFonts w:ascii="仿宋_GB2312" w:eastAsia="仿宋_GB2312" w:hint="eastAsia"/>
          <w:sz w:val="32"/>
          <w:szCs w:val="32"/>
        </w:rPr>
        <w:t>组建南方科技大学新时代学习中心。打造线上线下结合式的教学资源平台和经验展示窗口，目前已初步完成中心网站建设，待平台正式上线运营后，将进一步提升我校学习宣传工作信息化、科学化、智慧化水平，满足全校师生对思想政治教育、党的建设理论、行政管理能力提升等优质学习资源的迫切需求，打通教职工教育培训的“最后一公里”，输送学校党委“营养”到各基层党支部。</w:t>
      </w:r>
    </w:p>
    <w:p w14:paraId="42E81739" w14:textId="77777777" w:rsidR="004D51E8" w:rsidRDefault="004D51E8" w:rsidP="004D51E8">
      <w:pPr>
        <w:spacing w:line="580" w:lineRule="exact"/>
        <w:ind w:firstLineChars="250" w:firstLine="800"/>
        <w:rPr>
          <w:rFonts w:ascii="仿宋_GB2312" w:eastAsia="仿宋_GB2312"/>
          <w:sz w:val="32"/>
          <w:szCs w:val="32"/>
        </w:rPr>
      </w:pPr>
      <w:r>
        <w:rPr>
          <w:rFonts w:ascii="仿宋_GB2312" w:eastAsia="仿宋_GB2312" w:hint="eastAsia"/>
          <w:sz w:val="32"/>
          <w:szCs w:val="32"/>
        </w:rPr>
        <w:t>党建带团建，弘扬主旋律。我校注重做好青年学生思想政治引领工作，2020年全年发展学生党员181名，较2019年增加100名，新增入党积极分子388人，现有入党积极分子597名，发展对象169名。积极</w:t>
      </w:r>
      <w:proofErr w:type="gramStart"/>
      <w:r>
        <w:rPr>
          <w:rFonts w:ascii="仿宋_GB2312" w:eastAsia="仿宋_GB2312" w:hint="eastAsia"/>
          <w:sz w:val="32"/>
          <w:szCs w:val="32"/>
        </w:rPr>
        <w:t>构建全</w:t>
      </w:r>
      <w:proofErr w:type="gramEnd"/>
      <w:r>
        <w:rPr>
          <w:rFonts w:ascii="仿宋_GB2312" w:eastAsia="仿宋_GB2312" w:hint="eastAsia"/>
          <w:sz w:val="32"/>
          <w:szCs w:val="32"/>
        </w:rPr>
        <w:t>媒体平台，以正能量引导青年。我校李博宣同学的《点将台》在央视展现了我校青年学子的形象气质和精神风貌。《追逐吧！远方》视频被</w:t>
      </w:r>
      <w:r>
        <w:rPr>
          <w:rFonts w:ascii="仿宋_GB2312" w:eastAsia="仿宋_GB2312" w:hint="eastAsia"/>
          <w:sz w:val="32"/>
          <w:szCs w:val="32"/>
        </w:rPr>
        <w:lastRenderedPageBreak/>
        <w:t>广东共青团、“学习强国”等平台转发，受到了各方肯定和好评。锐意改革、</w:t>
      </w:r>
      <w:proofErr w:type="gramStart"/>
      <w:r>
        <w:rPr>
          <w:rFonts w:ascii="仿宋_GB2312" w:eastAsia="仿宋_GB2312" w:hint="eastAsia"/>
          <w:sz w:val="32"/>
          <w:szCs w:val="32"/>
        </w:rPr>
        <w:t>夯实各级团学组织</w:t>
      </w:r>
      <w:proofErr w:type="gramEnd"/>
      <w:r>
        <w:rPr>
          <w:rFonts w:ascii="仿宋_GB2312" w:eastAsia="仿宋_GB2312" w:hint="eastAsia"/>
          <w:sz w:val="32"/>
          <w:szCs w:val="32"/>
        </w:rPr>
        <w:t>建设力量，校团委紧抓全国共青团改革契机，制定《深化南方科技大学共青团改革实施细则》，在“大思政”和“三全育人”格局中，把握功能定位，履行职责使命。</w:t>
      </w:r>
    </w:p>
    <w:p w14:paraId="5CCFC9BC" w14:textId="77777777" w:rsidR="004D51E8" w:rsidRDefault="004D51E8" w:rsidP="004D51E8">
      <w:pPr>
        <w:spacing w:line="580" w:lineRule="exact"/>
        <w:ind w:firstLineChars="250" w:firstLine="803"/>
        <w:rPr>
          <w:rFonts w:ascii="仿宋_GB2312" w:eastAsia="仿宋_GB2312"/>
          <w:b/>
          <w:bCs/>
          <w:sz w:val="32"/>
          <w:szCs w:val="32"/>
        </w:rPr>
      </w:pPr>
      <w:r>
        <w:rPr>
          <w:rFonts w:ascii="仿宋_GB2312" w:eastAsia="仿宋_GB2312" w:hint="eastAsia"/>
          <w:b/>
          <w:bCs/>
          <w:sz w:val="32"/>
          <w:szCs w:val="32"/>
        </w:rPr>
        <w:t>2.完善拔尖人才培养体系，学位点申报工作取得重大进展。</w:t>
      </w:r>
    </w:p>
    <w:p w14:paraId="2A7B1DF2" w14:textId="77777777" w:rsidR="004D51E8" w:rsidRDefault="004D51E8" w:rsidP="004D51E8">
      <w:pPr>
        <w:ind w:firstLineChars="202" w:firstLine="646"/>
        <w:rPr>
          <w:rFonts w:ascii="仿宋_GB2312" w:eastAsia="仿宋_GB2312"/>
          <w:sz w:val="32"/>
          <w:szCs w:val="32"/>
        </w:rPr>
      </w:pPr>
      <w:r>
        <w:rPr>
          <w:rFonts w:ascii="仿宋_GB2312" w:eastAsia="仿宋_GB2312" w:hint="eastAsia"/>
          <w:sz w:val="32"/>
          <w:szCs w:val="32"/>
        </w:rPr>
        <w:t>我校长期以来一直实行个性化、精英化拔尖人才培养体制，所有人才培养措施均围绕“以学生为中心”的理念开展，培养成果显著。近年来，随着学校声誉鹊起，生源质量显著提升，师资力量稳步增强，教学资源不断丰富，我校尝试通过课程建设、制度建设，将个性化培养纵深化发展，争取加入国家级拔尖学生培养计划，向兄弟高校展示南科大人才培养成果，起到高教改革的引领、示范作用。</w:t>
      </w:r>
    </w:p>
    <w:p w14:paraId="50388EED" w14:textId="77777777" w:rsidR="004D51E8" w:rsidRDefault="004D51E8" w:rsidP="004D51E8">
      <w:pPr>
        <w:spacing w:line="560" w:lineRule="exact"/>
        <w:ind w:firstLineChars="200" w:firstLine="640"/>
        <w:rPr>
          <w:rFonts w:ascii="仿宋_GB2312" w:eastAsia="仿宋_GB2312"/>
          <w:sz w:val="32"/>
          <w:szCs w:val="32"/>
        </w:rPr>
      </w:pPr>
      <w:r>
        <w:rPr>
          <w:rFonts w:ascii="仿宋_GB2312" w:eastAsia="仿宋_GB2312" w:hint="eastAsia"/>
          <w:sz w:val="32"/>
          <w:szCs w:val="32"/>
        </w:rPr>
        <w:t>2020年学位点申报工作取得重大进展。我校严格按照2020年国家和省厅有关学位点工作的申报要求，结合学校和学科发展实际，经过认真</w:t>
      </w:r>
      <w:proofErr w:type="gramStart"/>
      <w:r>
        <w:rPr>
          <w:rFonts w:ascii="仿宋_GB2312" w:eastAsia="仿宋_GB2312" w:hint="eastAsia"/>
          <w:sz w:val="32"/>
          <w:szCs w:val="32"/>
        </w:rPr>
        <w:t>研</w:t>
      </w:r>
      <w:proofErr w:type="gramEnd"/>
      <w:r>
        <w:rPr>
          <w:rFonts w:ascii="仿宋_GB2312" w:eastAsia="仿宋_GB2312" w:hint="eastAsia"/>
          <w:sz w:val="32"/>
          <w:szCs w:val="32"/>
        </w:rPr>
        <w:t>判，于11月5日向省学位委员会提交了19个学位点的申报材料，具体为9个一级学科博士学位授权点申请：化学、地球物理学、机械工程、材料科学与工程、电子科学与技术、计算机科学与技术、环境科学与工程、生物医学工程和临床医学；3个博士专业学位授权类别申请：电子信息、材料与化工和生物与医药；1个一级学科硕士学位授权点申请：材料科学与工程；6个专业硕士</w:t>
      </w:r>
      <w:r>
        <w:rPr>
          <w:rFonts w:ascii="仿宋_GB2312" w:eastAsia="仿宋_GB2312" w:hint="eastAsia"/>
          <w:sz w:val="32"/>
          <w:szCs w:val="32"/>
        </w:rPr>
        <w:lastRenderedPageBreak/>
        <w:t>学位授权类别申请：电子信息、机械、资源与环境、生物与医药、临床医学和公共卫生。12月9日，广东省第七届学位委员会第二次全体委员会召开，我校提交的19个学位点申报材料全部获得通过，12月14日，我校已按照国家和省厅有关要求，将申报材料录入系统，提交国家评审。</w:t>
      </w:r>
    </w:p>
    <w:p w14:paraId="24CFF4EA" w14:textId="77777777" w:rsidR="004D51E8" w:rsidRDefault="004D51E8" w:rsidP="004D51E8">
      <w:pPr>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3.科研立项数和获</w:t>
      </w:r>
      <w:proofErr w:type="gramStart"/>
      <w:r>
        <w:rPr>
          <w:rFonts w:ascii="仿宋_GB2312" w:eastAsia="仿宋_GB2312" w:hint="eastAsia"/>
          <w:b/>
          <w:bCs/>
          <w:sz w:val="32"/>
          <w:szCs w:val="32"/>
        </w:rPr>
        <w:t>批经费</w:t>
      </w:r>
      <w:proofErr w:type="gramEnd"/>
      <w:r>
        <w:rPr>
          <w:rFonts w:ascii="仿宋_GB2312" w:eastAsia="仿宋_GB2312" w:hint="eastAsia"/>
          <w:b/>
          <w:bCs/>
          <w:sz w:val="32"/>
          <w:szCs w:val="32"/>
        </w:rPr>
        <w:t>增长明显。</w:t>
      </w:r>
    </w:p>
    <w:p w14:paraId="58F36E2D" w14:textId="77777777" w:rsidR="004D51E8" w:rsidRDefault="004D51E8" w:rsidP="004D51E8">
      <w:pPr>
        <w:spacing w:line="560" w:lineRule="exact"/>
        <w:ind w:firstLineChars="200" w:firstLine="640"/>
        <w:rPr>
          <w:rFonts w:ascii="仿宋_GB2312" w:eastAsia="仿宋_GB2312"/>
          <w:b/>
          <w:bCs/>
          <w:sz w:val="32"/>
          <w:szCs w:val="32"/>
        </w:rPr>
      </w:pPr>
      <w:r>
        <w:rPr>
          <w:rFonts w:ascii="仿宋_GB2312" w:eastAsia="仿宋_GB2312" w:hint="eastAsia"/>
          <w:sz w:val="32"/>
          <w:szCs w:val="32"/>
        </w:rPr>
        <w:t>2020年我校获得各级各类纵向科技项目</w:t>
      </w:r>
      <w:bookmarkStart w:id="0" w:name="OLE_LINK3"/>
      <w:r>
        <w:rPr>
          <w:rFonts w:ascii="仿宋_GB2312" w:eastAsia="仿宋_GB2312" w:hint="eastAsia"/>
          <w:sz w:val="32"/>
          <w:szCs w:val="32"/>
        </w:rPr>
        <w:t>787项，总经费15.24亿元</w:t>
      </w:r>
      <w:bookmarkEnd w:id="0"/>
      <w:r>
        <w:rPr>
          <w:rFonts w:ascii="仿宋_GB2312" w:eastAsia="仿宋_GB2312" w:hint="eastAsia"/>
          <w:sz w:val="32"/>
          <w:szCs w:val="32"/>
        </w:rPr>
        <w:t>，经费数较2019年增长19%；其中广东省科技项目立项项目数较2019年增长268%，获</w:t>
      </w:r>
      <w:proofErr w:type="gramStart"/>
      <w:r>
        <w:rPr>
          <w:rFonts w:ascii="仿宋_GB2312" w:eastAsia="仿宋_GB2312" w:hint="eastAsia"/>
          <w:sz w:val="32"/>
          <w:szCs w:val="32"/>
        </w:rPr>
        <w:t>批经费数</w:t>
      </w:r>
      <w:proofErr w:type="gramEnd"/>
      <w:r>
        <w:rPr>
          <w:rFonts w:ascii="仿宋_GB2312" w:eastAsia="仿宋_GB2312" w:hint="eastAsia"/>
          <w:sz w:val="32"/>
          <w:szCs w:val="32"/>
        </w:rPr>
        <w:t>较2019年增长15%，具体见下表：</w:t>
      </w:r>
    </w:p>
    <w:tbl>
      <w:tblPr>
        <w:tblW w:w="8394" w:type="dxa"/>
        <w:tblInd w:w="113" w:type="dxa"/>
        <w:tblLook w:val="04A0" w:firstRow="1" w:lastRow="0" w:firstColumn="1" w:lastColumn="0" w:noHBand="0" w:noVBand="1"/>
      </w:tblPr>
      <w:tblGrid>
        <w:gridCol w:w="3996"/>
        <w:gridCol w:w="1842"/>
        <w:gridCol w:w="2556"/>
      </w:tblGrid>
      <w:tr w:rsidR="004D51E8" w14:paraId="13566FFB" w14:textId="77777777" w:rsidTr="004D51E8">
        <w:trPr>
          <w:trHeight w:val="375"/>
        </w:trPr>
        <w:tc>
          <w:tcPr>
            <w:tcW w:w="3996" w:type="dxa"/>
            <w:tcBorders>
              <w:top w:val="single" w:sz="4" w:space="0" w:color="auto"/>
              <w:left w:val="single" w:sz="4" w:space="0" w:color="auto"/>
              <w:bottom w:val="single" w:sz="4" w:space="0" w:color="auto"/>
              <w:right w:val="single" w:sz="4" w:space="0" w:color="auto"/>
            </w:tcBorders>
            <w:noWrap/>
            <w:vAlign w:val="center"/>
            <w:hideMark/>
          </w:tcPr>
          <w:p w14:paraId="0DD6A4E5" w14:textId="77777777" w:rsidR="004D51E8" w:rsidRDefault="004D51E8">
            <w:pPr>
              <w:widowControl/>
              <w:jc w:val="center"/>
              <w:rPr>
                <w:rFonts w:ascii="仿宋_GB2312" w:eastAsia="仿宋_GB2312" w:hAnsi="等线" w:cs="宋体"/>
                <w:b/>
                <w:bCs/>
                <w:color w:val="000000"/>
                <w:kern w:val="0"/>
                <w:sz w:val="24"/>
              </w:rPr>
            </w:pPr>
            <w:r>
              <w:rPr>
                <w:rFonts w:ascii="仿宋_GB2312" w:eastAsia="仿宋_GB2312" w:hAnsi="等线" w:cs="宋体" w:hint="eastAsia"/>
                <w:b/>
                <w:bCs/>
                <w:color w:val="000000"/>
                <w:kern w:val="0"/>
                <w:sz w:val="24"/>
              </w:rPr>
              <w:t>项目类型</w:t>
            </w:r>
          </w:p>
        </w:tc>
        <w:tc>
          <w:tcPr>
            <w:tcW w:w="1842" w:type="dxa"/>
            <w:tcBorders>
              <w:top w:val="single" w:sz="4" w:space="0" w:color="auto"/>
              <w:left w:val="nil"/>
              <w:bottom w:val="single" w:sz="4" w:space="0" w:color="auto"/>
              <w:right w:val="single" w:sz="4" w:space="0" w:color="auto"/>
            </w:tcBorders>
            <w:noWrap/>
            <w:vAlign w:val="center"/>
            <w:hideMark/>
          </w:tcPr>
          <w:p w14:paraId="7E8091EC" w14:textId="77777777" w:rsidR="004D51E8" w:rsidRDefault="004D51E8">
            <w:pPr>
              <w:widowControl/>
              <w:jc w:val="center"/>
              <w:rPr>
                <w:rFonts w:ascii="仿宋_GB2312" w:eastAsia="仿宋_GB2312" w:hAnsi="等线" w:cs="宋体"/>
                <w:b/>
                <w:bCs/>
                <w:color w:val="000000"/>
                <w:kern w:val="0"/>
                <w:sz w:val="24"/>
              </w:rPr>
            </w:pPr>
            <w:r>
              <w:rPr>
                <w:rFonts w:ascii="仿宋_GB2312" w:eastAsia="仿宋_GB2312" w:hAnsi="等线" w:cs="宋体" w:hint="eastAsia"/>
                <w:b/>
                <w:bCs/>
                <w:color w:val="000000"/>
                <w:kern w:val="0"/>
                <w:sz w:val="24"/>
              </w:rPr>
              <w:t>立项数（</w:t>
            </w:r>
            <w:proofErr w:type="gramStart"/>
            <w:r>
              <w:rPr>
                <w:rFonts w:ascii="仿宋_GB2312" w:eastAsia="仿宋_GB2312" w:hAnsi="等线" w:cs="宋体" w:hint="eastAsia"/>
                <w:b/>
                <w:bCs/>
                <w:color w:val="000000"/>
                <w:kern w:val="0"/>
                <w:sz w:val="24"/>
              </w:rPr>
              <w:t>个</w:t>
            </w:r>
            <w:proofErr w:type="gramEnd"/>
            <w:r>
              <w:rPr>
                <w:rFonts w:ascii="仿宋_GB2312" w:eastAsia="仿宋_GB2312" w:hAnsi="等线" w:cs="宋体" w:hint="eastAsia"/>
                <w:b/>
                <w:bCs/>
                <w:color w:val="000000"/>
                <w:kern w:val="0"/>
                <w:sz w:val="24"/>
              </w:rPr>
              <w:t>）</w:t>
            </w:r>
          </w:p>
        </w:tc>
        <w:tc>
          <w:tcPr>
            <w:tcW w:w="2556" w:type="dxa"/>
            <w:tcBorders>
              <w:top w:val="single" w:sz="4" w:space="0" w:color="auto"/>
              <w:left w:val="nil"/>
              <w:bottom w:val="single" w:sz="4" w:space="0" w:color="auto"/>
              <w:right w:val="single" w:sz="4" w:space="0" w:color="auto"/>
            </w:tcBorders>
            <w:noWrap/>
            <w:vAlign w:val="center"/>
            <w:hideMark/>
          </w:tcPr>
          <w:p w14:paraId="256AF56F" w14:textId="77777777" w:rsidR="004D51E8" w:rsidRDefault="004D51E8">
            <w:pPr>
              <w:widowControl/>
              <w:jc w:val="center"/>
              <w:rPr>
                <w:rFonts w:ascii="仿宋_GB2312" w:eastAsia="仿宋_GB2312" w:hAnsi="等线" w:cs="宋体"/>
                <w:b/>
                <w:bCs/>
                <w:color w:val="000000"/>
                <w:kern w:val="0"/>
                <w:sz w:val="24"/>
              </w:rPr>
            </w:pPr>
            <w:r>
              <w:rPr>
                <w:rFonts w:ascii="仿宋_GB2312" w:eastAsia="仿宋_GB2312" w:hAnsi="等线" w:cs="宋体" w:hint="eastAsia"/>
                <w:b/>
                <w:bCs/>
                <w:color w:val="000000"/>
                <w:kern w:val="0"/>
                <w:sz w:val="24"/>
              </w:rPr>
              <w:t>获批经费（万元）</w:t>
            </w:r>
          </w:p>
        </w:tc>
      </w:tr>
      <w:tr w:rsidR="004D51E8" w14:paraId="51FB32EA" w14:textId="77777777" w:rsidTr="004D51E8">
        <w:trPr>
          <w:trHeight w:val="375"/>
        </w:trPr>
        <w:tc>
          <w:tcPr>
            <w:tcW w:w="3996" w:type="dxa"/>
            <w:tcBorders>
              <w:top w:val="nil"/>
              <w:left w:val="single" w:sz="4" w:space="0" w:color="auto"/>
              <w:bottom w:val="single" w:sz="4" w:space="0" w:color="auto"/>
              <w:right w:val="single" w:sz="4" w:space="0" w:color="auto"/>
            </w:tcBorders>
            <w:noWrap/>
            <w:vAlign w:val="center"/>
            <w:hideMark/>
          </w:tcPr>
          <w:p w14:paraId="76129CB0" w14:textId="77777777" w:rsidR="004D51E8" w:rsidRDefault="004D51E8">
            <w:pPr>
              <w:widowControl/>
              <w:jc w:val="left"/>
              <w:rPr>
                <w:rFonts w:ascii="仿宋_GB2312" w:eastAsia="仿宋_GB2312" w:hAnsi="等线" w:cs="宋体"/>
                <w:color w:val="000000"/>
                <w:kern w:val="0"/>
                <w:sz w:val="24"/>
              </w:rPr>
            </w:pPr>
            <w:r>
              <w:rPr>
                <w:rFonts w:ascii="仿宋_GB2312" w:eastAsia="仿宋_GB2312" w:hAnsi="等线" w:cs="宋体" w:hint="eastAsia"/>
                <w:color w:val="000000"/>
                <w:kern w:val="0"/>
                <w:sz w:val="24"/>
              </w:rPr>
              <w:t>国家自然科学基金项目</w:t>
            </w:r>
          </w:p>
        </w:tc>
        <w:tc>
          <w:tcPr>
            <w:tcW w:w="1842" w:type="dxa"/>
            <w:tcBorders>
              <w:top w:val="nil"/>
              <w:left w:val="nil"/>
              <w:bottom w:val="single" w:sz="4" w:space="0" w:color="auto"/>
              <w:right w:val="single" w:sz="4" w:space="0" w:color="auto"/>
            </w:tcBorders>
            <w:noWrap/>
            <w:vAlign w:val="center"/>
            <w:hideMark/>
          </w:tcPr>
          <w:p w14:paraId="43120818" w14:textId="77777777" w:rsidR="004D51E8" w:rsidRDefault="004D51E8">
            <w:pPr>
              <w:widowControl/>
              <w:jc w:val="center"/>
              <w:rPr>
                <w:rFonts w:ascii="仿宋_GB2312" w:eastAsia="仿宋_GB2312" w:hAnsi="等线" w:cs="宋体"/>
                <w:color w:val="000000"/>
                <w:kern w:val="0"/>
                <w:sz w:val="24"/>
              </w:rPr>
            </w:pPr>
            <w:r>
              <w:rPr>
                <w:rFonts w:ascii="仿宋_GB2312" w:eastAsia="仿宋_GB2312" w:hAnsi="等线" w:cs="宋体" w:hint="eastAsia"/>
                <w:color w:val="000000"/>
                <w:kern w:val="0"/>
                <w:sz w:val="24"/>
              </w:rPr>
              <w:t>206</w:t>
            </w:r>
          </w:p>
        </w:tc>
        <w:tc>
          <w:tcPr>
            <w:tcW w:w="2556" w:type="dxa"/>
            <w:tcBorders>
              <w:top w:val="nil"/>
              <w:left w:val="nil"/>
              <w:bottom w:val="single" w:sz="4" w:space="0" w:color="auto"/>
              <w:right w:val="single" w:sz="4" w:space="0" w:color="auto"/>
            </w:tcBorders>
            <w:noWrap/>
            <w:vAlign w:val="center"/>
            <w:hideMark/>
          </w:tcPr>
          <w:p w14:paraId="25CD59CF" w14:textId="77777777" w:rsidR="004D51E8" w:rsidRDefault="004D51E8">
            <w:pPr>
              <w:widowControl/>
              <w:jc w:val="center"/>
              <w:rPr>
                <w:rFonts w:ascii="仿宋_GB2312" w:eastAsia="仿宋_GB2312" w:hAnsi="等线" w:cs="宋体"/>
                <w:color w:val="000000"/>
                <w:kern w:val="0"/>
                <w:sz w:val="24"/>
              </w:rPr>
            </w:pPr>
            <w:r>
              <w:rPr>
                <w:rFonts w:ascii="仿宋_GB2312" w:eastAsia="仿宋_GB2312" w:hAnsi="等线" w:cs="宋体" w:hint="eastAsia"/>
                <w:color w:val="000000"/>
                <w:kern w:val="0"/>
                <w:sz w:val="24"/>
              </w:rPr>
              <w:t xml:space="preserve">           14,600 </w:t>
            </w:r>
          </w:p>
        </w:tc>
      </w:tr>
      <w:tr w:rsidR="004D51E8" w14:paraId="332D3254" w14:textId="77777777" w:rsidTr="004D51E8">
        <w:trPr>
          <w:trHeight w:val="375"/>
        </w:trPr>
        <w:tc>
          <w:tcPr>
            <w:tcW w:w="3996" w:type="dxa"/>
            <w:tcBorders>
              <w:top w:val="nil"/>
              <w:left w:val="single" w:sz="4" w:space="0" w:color="auto"/>
              <w:bottom w:val="single" w:sz="4" w:space="0" w:color="auto"/>
              <w:right w:val="single" w:sz="4" w:space="0" w:color="auto"/>
            </w:tcBorders>
            <w:noWrap/>
            <w:vAlign w:val="center"/>
            <w:hideMark/>
          </w:tcPr>
          <w:p w14:paraId="2CDD173F" w14:textId="77777777" w:rsidR="004D51E8" w:rsidRDefault="004D51E8">
            <w:pPr>
              <w:widowControl/>
              <w:jc w:val="left"/>
              <w:rPr>
                <w:rFonts w:ascii="仿宋_GB2312" w:eastAsia="仿宋_GB2312" w:hAnsi="等线" w:cs="宋体"/>
                <w:color w:val="000000"/>
                <w:kern w:val="0"/>
                <w:sz w:val="24"/>
              </w:rPr>
            </w:pPr>
            <w:r>
              <w:rPr>
                <w:rFonts w:ascii="仿宋_GB2312" w:eastAsia="仿宋_GB2312" w:hAnsi="等线" w:cs="宋体" w:hint="eastAsia"/>
                <w:color w:val="000000"/>
                <w:kern w:val="0"/>
                <w:sz w:val="24"/>
              </w:rPr>
              <w:t>科技部科技项目</w:t>
            </w:r>
          </w:p>
        </w:tc>
        <w:tc>
          <w:tcPr>
            <w:tcW w:w="1842" w:type="dxa"/>
            <w:tcBorders>
              <w:top w:val="nil"/>
              <w:left w:val="nil"/>
              <w:bottom w:val="single" w:sz="4" w:space="0" w:color="auto"/>
              <w:right w:val="single" w:sz="4" w:space="0" w:color="auto"/>
            </w:tcBorders>
            <w:noWrap/>
            <w:vAlign w:val="center"/>
            <w:hideMark/>
          </w:tcPr>
          <w:p w14:paraId="38D1965E" w14:textId="77777777" w:rsidR="004D51E8" w:rsidRDefault="004D51E8">
            <w:pPr>
              <w:widowControl/>
              <w:jc w:val="center"/>
              <w:rPr>
                <w:rFonts w:ascii="仿宋_GB2312" w:eastAsia="仿宋_GB2312" w:hAnsi="等线" w:cs="宋体"/>
                <w:color w:val="000000"/>
                <w:kern w:val="0"/>
                <w:sz w:val="24"/>
              </w:rPr>
            </w:pPr>
            <w:r>
              <w:rPr>
                <w:rFonts w:ascii="仿宋_GB2312" w:eastAsia="仿宋_GB2312" w:hAnsi="等线" w:cs="宋体" w:hint="eastAsia"/>
                <w:color w:val="000000"/>
                <w:kern w:val="0"/>
                <w:sz w:val="24"/>
              </w:rPr>
              <w:t>29</w:t>
            </w:r>
          </w:p>
        </w:tc>
        <w:tc>
          <w:tcPr>
            <w:tcW w:w="2556" w:type="dxa"/>
            <w:tcBorders>
              <w:top w:val="nil"/>
              <w:left w:val="nil"/>
              <w:bottom w:val="single" w:sz="4" w:space="0" w:color="auto"/>
              <w:right w:val="single" w:sz="4" w:space="0" w:color="auto"/>
            </w:tcBorders>
            <w:noWrap/>
            <w:vAlign w:val="center"/>
            <w:hideMark/>
          </w:tcPr>
          <w:p w14:paraId="5B825CC1" w14:textId="77777777" w:rsidR="004D51E8" w:rsidRDefault="004D51E8">
            <w:pPr>
              <w:widowControl/>
              <w:jc w:val="center"/>
              <w:rPr>
                <w:rFonts w:ascii="仿宋_GB2312" w:eastAsia="仿宋_GB2312" w:hAnsi="等线" w:cs="宋体"/>
                <w:color w:val="000000"/>
                <w:kern w:val="0"/>
                <w:sz w:val="24"/>
              </w:rPr>
            </w:pPr>
            <w:r>
              <w:rPr>
                <w:rFonts w:ascii="仿宋_GB2312" w:eastAsia="仿宋_GB2312" w:hAnsi="等线" w:cs="宋体" w:hint="eastAsia"/>
                <w:color w:val="000000"/>
                <w:kern w:val="0"/>
                <w:sz w:val="24"/>
              </w:rPr>
              <w:t xml:space="preserve">            8,700 </w:t>
            </w:r>
          </w:p>
        </w:tc>
      </w:tr>
      <w:tr w:rsidR="004D51E8" w14:paraId="50F777BF" w14:textId="77777777" w:rsidTr="004D51E8">
        <w:trPr>
          <w:trHeight w:val="375"/>
        </w:trPr>
        <w:tc>
          <w:tcPr>
            <w:tcW w:w="3996" w:type="dxa"/>
            <w:tcBorders>
              <w:top w:val="nil"/>
              <w:left w:val="single" w:sz="4" w:space="0" w:color="auto"/>
              <w:bottom w:val="single" w:sz="4" w:space="0" w:color="auto"/>
              <w:right w:val="single" w:sz="4" w:space="0" w:color="auto"/>
            </w:tcBorders>
            <w:noWrap/>
            <w:vAlign w:val="center"/>
            <w:hideMark/>
          </w:tcPr>
          <w:p w14:paraId="67F08EAA" w14:textId="77777777" w:rsidR="004D51E8" w:rsidRDefault="004D51E8">
            <w:pPr>
              <w:widowControl/>
              <w:jc w:val="left"/>
              <w:rPr>
                <w:rFonts w:ascii="仿宋_GB2312" w:eastAsia="仿宋_GB2312" w:hAnsi="等线" w:cs="宋体"/>
                <w:color w:val="000000"/>
                <w:kern w:val="0"/>
                <w:sz w:val="24"/>
              </w:rPr>
            </w:pPr>
            <w:r>
              <w:rPr>
                <w:rFonts w:ascii="仿宋_GB2312" w:eastAsia="仿宋_GB2312" w:hAnsi="等线" w:cs="宋体" w:hint="eastAsia"/>
                <w:color w:val="000000"/>
                <w:kern w:val="0"/>
                <w:sz w:val="24"/>
              </w:rPr>
              <w:t>广东省科技项目</w:t>
            </w:r>
          </w:p>
        </w:tc>
        <w:tc>
          <w:tcPr>
            <w:tcW w:w="1842" w:type="dxa"/>
            <w:tcBorders>
              <w:top w:val="nil"/>
              <w:left w:val="nil"/>
              <w:bottom w:val="single" w:sz="4" w:space="0" w:color="auto"/>
              <w:right w:val="single" w:sz="4" w:space="0" w:color="auto"/>
            </w:tcBorders>
            <w:noWrap/>
            <w:vAlign w:val="center"/>
            <w:hideMark/>
          </w:tcPr>
          <w:p w14:paraId="129DFAE9" w14:textId="77777777" w:rsidR="004D51E8" w:rsidRDefault="004D51E8">
            <w:pPr>
              <w:widowControl/>
              <w:jc w:val="center"/>
              <w:rPr>
                <w:rFonts w:ascii="仿宋_GB2312" w:eastAsia="仿宋_GB2312" w:hAnsi="等线" w:cs="宋体"/>
                <w:color w:val="000000"/>
                <w:kern w:val="0"/>
                <w:sz w:val="24"/>
              </w:rPr>
            </w:pPr>
            <w:r>
              <w:rPr>
                <w:rFonts w:ascii="仿宋_GB2312" w:eastAsia="仿宋_GB2312" w:hAnsi="等线" w:cs="宋体" w:hint="eastAsia"/>
                <w:color w:val="000000"/>
                <w:kern w:val="0"/>
                <w:sz w:val="24"/>
              </w:rPr>
              <w:t>221</w:t>
            </w:r>
          </w:p>
        </w:tc>
        <w:tc>
          <w:tcPr>
            <w:tcW w:w="2556" w:type="dxa"/>
            <w:tcBorders>
              <w:top w:val="nil"/>
              <w:left w:val="nil"/>
              <w:bottom w:val="single" w:sz="4" w:space="0" w:color="auto"/>
              <w:right w:val="single" w:sz="4" w:space="0" w:color="auto"/>
            </w:tcBorders>
            <w:noWrap/>
            <w:vAlign w:val="center"/>
            <w:hideMark/>
          </w:tcPr>
          <w:p w14:paraId="51AF6661" w14:textId="77777777" w:rsidR="004D51E8" w:rsidRDefault="004D51E8">
            <w:pPr>
              <w:widowControl/>
              <w:jc w:val="center"/>
              <w:rPr>
                <w:rFonts w:ascii="仿宋_GB2312" w:eastAsia="仿宋_GB2312" w:hAnsi="等线" w:cs="宋体"/>
                <w:color w:val="000000"/>
                <w:kern w:val="0"/>
                <w:sz w:val="24"/>
              </w:rPr>
            </w:pPr>
            <w:r>
              <w:rPr>
                <w:rFonts w:ascii="仿宋_GB2312" w:eastAsia="仿宋_GB2312" w:hAnsi="等线" w:cs="宋体" w:hint="eastAsia"/>
                <w:color w:val="000000"/>
                <w:kern w:val="0"/>
                <w:sz w:val="24"/>
              </w:rPr>
              <w:t xml:space="preserve">           25,493 </w:t>
            </w:r>
          </w:p>
        </w:tc>
      </w:tr>
      <w:tr w:rsidR="004D51E8" w14:paraId="23418BDE" w14:textId="77777777" w:rsidTr="004D51E8">
        <w:trPr>
          <w:trHeight w:val="375"/>
        </w:trPr>
        <w:tc>
          <w:tcPr>
            <w:tcW w:w="3996" w:type="dxa"/>
            <w:tcBorders>
              <w:top w:val="nil"/>
              <w:left w:val="single" w:sz="4" w:space="0" w:color="auto"/>
              <w:bottom w:val="single" w:sz="4" w:space="0" w:color="auto"/>
              <w:right w:val="single" w:sz="4" w:space="0" w:color="auto"/>
            </w:tcBorders>
            <w:noWrap/>
            <w:vAlign w:val="center"/>
            <w:hideMark/>
          </w:tcPr>
          <w:p w14:paraId="40B9B26E" w14:textId="77777777" w:rsidR="004D51E8" w:rsidRDefault="004D51E8">
            <w:pPr>
              <w:widowControl/>
              <w:jc w:val="left"/>
              <w:rPr>
                <w:rFonts w:ascii="仿宋_GB2312" w:eastAsia="仿宋_GB2312" w:hAnsi="等线" w:cs="宋体"/>
                <w:color w:val="000000"/>
                <w:kern w:val="0"/>
                <w:sz w:val="24"/>
              </w:rPr>
            </w:pPr>
            <w:r>
              <w:rPr>
                <w:rFonts w:ascii="仿宋_GB2312" w:eastAsia="仿宋_GB2312" w:hAnsi="等线" w:cs="宋体" w:hint="eastAsia"/>
                <w:color w:val="000000"/>
                <w:kern w:val="0"/>
                <w:sz w:val="24"/>
              </w:rPr>
              <w:t>深圳市科技项目</w:t>
            </w:r>
          </w:p>
        </w:tc>
        <w:tc>
          <w:tcPr>
            <w:tcW w:w="1842" w:type="dxa"/>
            <w:tcBorders>
              <w:top w:val="nil"/>
              <w:left w:val="nil"/>
              <w:bottom w:val="single" w:sz="4" w:space="0" w:color="auto"/>
              <w:right w:val="single" w:sz="4" w:space="0" w:color="auto"/>
            </w:tcBorders>
            <w:noWrap/>
            <w:vAlign w:val="center"/>
            <w:hideMark/>
          </w:tcPr>
          <w:p w14:paraId="2EFEE9D9" w14:textId="77777777" w:rsidR="004D51E8" w:rsidRDefault="004D51E8">
            <w:pPr>
              <w:widowControl/>
              <w:jc w:val="center"/>
              <w:rPr>
                <w:rFonts w:ascii="仿宋_GB2312" w:eastAsia="仿宋_GB2312" w:hAnsi="等线" w:cs="宋体"/>
                <w:color w:val="000000"/>
                <w:kern w:val="0"/>
                <w:sz w:val="24"/>
              </w:rPr>
            </w:pPr>
            <w:r>
              <w:rPr>
                <w:rFonts w:ascii="仿宋_GB2312" w:eastAsia="仿宋_GB2312" w:hAnsi="等线" w:cs="宋体" w:hint="eastAsia"/>
                <w:color w:val="000000"/>
                <w:kern w:val="0"/>
                <w:sz w:val="24"/>
              </w:rPr>
              <w:t>234</w:t>
            </w:r>
          </w:p>
        </w:tc>
        <w:tc>
          <w:tcPr>
            <w:tcW w:w="2556" w:type="dxa"/>
            <w:tcBorders>
              <w:top w:val="nil"/>
              <w:left w:val="nil"/>
              <w:bottom w:val="single" w:sz="4" w:space="0" w:color="auto"/>
              <w:right w:val="single" w:sz="4" w:space="0" w:color="auto"/>
            </w:tcBorders>
            <w:noWrap/>
            <w:vAlign w:val="center"/>
            <w:hideMark/>
          </w:tcPr>
          <w:p w14:paraId="045DF30A" w14:textId="77777777" w:rsidR="004D51E8" w:rsidRDefault="004D51E8">
            <w:pPr>
              <w:widowControl/>
              <w:jc w:val="center"/>
              <w:rPr>
                <w:rFonts w:ascii="仿宋_GB2312" w:eastAsia="仿宋_GB2312" w:hAnsi="等线" w:cs="宋体"/>
                <w:color w:val="000000"/>
                <w:kern w:val="0"/>
                <w:sz w:val="24"/>
              </w:rPr>
            </w:pPr>
            <w:r>
              <w:rPr>
                <w:rFonts w:ascii="仿宋_GB2312" w:eastAsia="仿宋_GB2312" w:hAnsi="等线" w:cs="宋体" w:hint="eastAsia"/>
                <w:color w:val="000000"/>
                <w:kern w:val="0"/>
                <w:sz w:val="24"/>
              </w:rPr>
              <w:t xml:space="preserve">           48,834 </w:t>
            </w:r>
          </w:p>
        </w:tc>
      </w:tr>
      <w:tr w:rsidR="004D51E8" w14:paraId="5551A602" w14:textId="77777777" w:rsidTr="004D51E8">
        <w:trPr>
          <w:trHeight w:val="375"/>
        </w:trPr>
        <w:tc>
          <w:tcPr>
            <w:tcW w:w="3996" w:type="dxa"/>
            <w:tcBorders>
              <w:top w:val="nil"/>
              <w:left w:val="single" w:sz="4" w:space="0" w:color="auto"/>
              <w:bottom w:val="single" w:sz="4" w:space="0" w:color="auto"/>
              <w:right w:val="single" w:sz="4" w:space="0" w:color="auto"/>
            </w:tcBorders>
            <w:noWrap/>
            <w:vAlign w:val="center"/>
            <w:hideMark/>
          </w:tcPr>
          <w:p w14:paraId="249F9732" w14:textId="77777777" w:rsidR="004D51E8" w:rsidRDefault="004D51E8">
            <w:pPr>
              <w:widowControl/>
              <w:jc w:val="left"/>
              <w:rPr>
                <w:rFonts w:ascii="仿宋_GB2312" w:eastAsia="仿宋_GB2312" w:hAnsi="等线" w:cs="宋体"/>
                <w:color w:val="000000"/>
                <w:kern w:val="0"/>
                <w:sz w:val="24"/>
              </w:rPr>
            </w:pPr>
            <w:r>
              <w:rPr>
                <w:rFonts w:ascii="仿宋_GB2312" w:eastAsia="仿宋_GB2312" w:hAnsi="等线" w:cs="宋体" w:hint="eastAsia"/>
                <w:color w:val="000000"/>
                <w:kern w:val="0"/>
                <w:sz w:val="24"/>
              </w:rPr>
              <w:t>人文社科及软科学竞争性科研项目</w:t>
            </w:r>
          </w:p>
        </w:tc>
        <w:tc>
          <w:tcPr>
            <w:tcW w:w="1842" w:type="dxa"/>
            <w:tcBorders>
              <w:top w:val="nil"/>
              <w:left w:val="nil"/>
              <w:bottom w:val="single" w:sz="4" w:space="0" w:color="auto"/>
              <w:right w:val="single" w:sz="4" w:space="0" w:color="auto"/>
            </w:tcBorders>
            <w:noWrap/>
            <w:vAlign w:val="center"/>
            <w:hideMark/>
          </w:tcPr>
          <w:p w14:paraId="197820F3" w14:textId="77777777" w:rsidR="004D51E8" w:rsidRDefault="004D51E8">
            <w:pPr>
              <w:widowControl/>
              <w:jc w:val="center"/>
              <w:rPr>
                <w:rFonts w:ascii="仿宋_GB2312" w:eastAsia="仿宋_GB2312" w:hAnsi="等线" w:cs="宋体"/>
                <w:color w:val="000000"/>
                <w:kern w:val="0"/>
                <w:sz w:val="24"/>
              </w:rPr>
            </w:pPr>
            <w:r>
              <w:rPr>
                <w:rFonts w:ascii="仿宋_GB2312" w:eastAsia="仿宋_GB2312" w:hAnsi="等线" w:cs="宋体" w:hint="eastAsia"/>
                <w:color w:val="000000"/>
                <w:kern w:val="0"/>
                <w:sz w:val="24"/>
              </w:rPr>
              <w:t>38</w:t>
            </w:r>
          </w:p>
        </w:tc>
        <w:tc>
          <w:tcPr>
            <w:tcW w:w="2556" w:type="dxa"/>
            <w:tcBorders>
              <w:top w:val="nil"/>
              <w:left w:val="nil"/>
              <w:bottom w:val="single" w:sz="4" w:space="0" w:color="auto"/>
              <w:right w:val="single" w:sz="4" w:space="0" w:color="auto"/>
            </w:tcBorders>
            <w:noWrap/>
            <w:vAlign w:val="center"/>
            <w:hideMark/>
          </w:tcPr>
          <w:p w14:paraId="3094BE34" w14:textId="77777777" w:rsidR="004D51E8" w:rsidRDefault="004D51E8">
            <w:pPr>
              <w:widowControl/>
              <w:jc w:val="center"/>
              <w:rPr>
                <w:rFonts w:ascii="仿宋_GB2312" w:eastAsia="仿宋_GB2312" w:hAnsi="等线" w:cs="宋体"/>
                <w:color w:val="000000"/>
                <w:kern w:val="0"/>
                <w:sz w:val="24"/>
              </w:rPr>
            </w:pPr>
            <w:r>
              <w:rPr>
                <w:rFonts w:ascii="仿宋_GB2312" w:eastAsia="仿宋_GB2312" w:hAnsi="等线" w:cs="宋体" w:hint="eastAsia"/>
                <w:color w:val="000000"/>
                <w:kern w:val="0"/>
                <w:sz w:val="24"/>
              </w:rPr>
              <w:t xml:space="preserve">              449 </w:t>
            </w:r>
          </w:p>
        </w:tc>
      </w:tr>
      <w:tr w:rsidR="004D51E8" w14:paraId="3EFCEE1F" w14:textId="77777777" w:rsidTr="004D51E8">
        <w:trPr>
          <w:trHeight w:val="375"/>
        </w:trPr>
        <w:tc>
          <w:tcPr>
            <w:tcW w:w="3996" w:type="dxa"/>
            <w:tcBorders>
              <w:top w:val="nil"/>
              <w:left w:val="single" w:sz="4" w:space="0" w:color="auto"/>
              <w:bottom w:val="single" w:sz="4" w:space="0" w:color="auto"/>
              <w:right w:val="single" w:sz="4" w:space="0" w:color="auto"/>
            </w:tcBorders>
            <w:noWrap/>
            <w:vAlign w:val="center"/>
            <w:hideMark/>
          </w:tcPr>
          <w:p w14:paraId="385A81C1" w14:textId="77777777" w:rsidR="004D51E8" w:rsidRDefault="004D51E8">
            <w:pPr>
              <w:widowControl/>
              <w:jc w:val="left"/>
              <w:rPr>
                <w:rFonts w:ascii="仿宋_GB2312" w:eastAsia="仿宋_GB2312" w:hAnsi="等线" w:cs="宋体"/>
                <w:color w:val="000000"/>
                <w:kern w:val="0"/>
                <w:sz w:val="24"/>
              </w:rPr>
            </w:pPr>
            <w:r>
              <w:rPr>
                <w:rFonts w:ascii="仿宋_GB2312" w:eastAsia="仿宋_GB2312" w:hAnsi="等线" w:cs="宋体" w:hint="eastAsia"/>
                <w:color w:val="000000"/>
                <w:kern w:val="0"/>
                <w:sz w:val="24"/>
              </w:rPr>
              <w:t>其他项目</w:t>
            </w:r>
          </w:p>
        </w:tc>
        <w:tc>
          <w:tcPr>
            <w:tcW w:w="1842" w:type="dxa"/>
            <w:tcBorders>
              <w:top w:val="nil"/>
              <w:left w:val="nil"/>
              <w:bottom w:val="single" w:sz="4" w:space="0" w:color="auto"/>
              <w:right w:val="single" w:sz="4" w:space="0" w:color="auto"/>
            </w:tcBorders>
            <w:noWrap/>
            <w:vAlign w:val="center"/>
            <w:hideMark/>
          </w:tcPr>
          <w:p w14:paraId="03309997" w14:textId="77777777" w:rsidR="004D51E8" w:rsidRDefault="004D51E8">
            <w:pPr>
              <w:widowControl/>
              <w:jc w:val="center"/>
              <w:rPr>
                <w:rFonts w:ascii="仿宋_GB2312" w:eastAsia="仿宋_GB2312" w:hAnsi="等线" w:cs="宋体"/>
                <w:color w:val="000000"/>
                <w:kern w:val="0"/>
                <w:sz w:val="24"/>
              </w:rPr>
            </w:pPr>
            <w:r>
              <w:rPr>
                <w:rFonts w:ascii="仿宋_GB2312" w:eastAsia="仿宋_GB2312" w:hAnsi="等线" w:cs="宋体" w:hint="eastAsia"/>
                <w:color w:val="000000"/>
                <w:kern w:val="0"/>
                <w:sz w:val="24"/>
              </w:rPr>
              <w:t>25</w:t>
            </w:r>
          </w:p>
        </w:tc>
        <w:tc>
          <w:tcPr>
            <w:tcW w:w="2556" w:type="dxa"/>
            <w:tcBorders>
              <w:top w:val="nil"/>
              <w:left w:val="nil"/>
              <w:bottom w:val="single" w:sz="4" w:space="0" w:color="auto"/>
              <w:right w:val="single" w:sz="4" w:space="0" w:color="auto"/>
            </w:tcBorders>
            <w:noWrap/>
            <w:vAlign w:val="center"/>
            <w:hideMark/>
          </w:tcPr>
          <w:p w14:paraId="7A80EC7A" w14:textId="77777777" w:rsidR="004D51E8" w:rsidRDefault="004D51E8">
            <w:pPr>
              <w:widowControl/>
              <w:jc w:val="center"/>
              <w:rPr>
                <w:rFonts w:ascii="仿宋_GB2312" w:eastAsia="仿宋_GB2312" w:hAnsi="等线" w:cs="宋体"/>
                <w:color w:val="000000"/>
                <w:kern w:val="0"/>
                <w:sz w:val="24"/>
              </w:rPr>
            </w:pPr>
            <w:r>
              <w:rPr>
                <w:rFonts w:ascii="仿宋_GB2312" w:eastAsia="仿宋_GB2312" w:hAnsi="等线" w:cs="宋体" w:hint="eastAsia"/>
                <w:color w:val="000000"/>
                <w:kern w:val="0"/>
                <w:sz w:val="24"/>
              </w:rPr>
              <w:t xml:space="preserve">            1,671 </w:t>
            </w:r>
          </w:p>
        </w:tc>
      </w:tr>
      <w:tr w:rsidR="004D51E8" w14:paraId="776BDD37" w14:textId="77777777" w:rsidTr="004D51E8">
        <w:trPr>
          <w:trHeight w:val="375"/>
        </w:trPr>
        <w:tc>
          <w:tcPr>
            <w:tcW w:w="3996" w:type="dxa"/>
            <w:tcBorders>
              <w:top w:val="nil"/>
              <w:left w:val="single" w:sz="4" w:space="0" w:color="auto"/>
              <w:bottom w:val="single" w:sz="4" w:space="0" w:color="auto"/>
              <w:right w:val="single" w:sz="4" w:space="0" w:color="auto"/>
            </w:tcBorders>
            <w:noWrap/>
            <w:vAlign w:val="center"/>
            <w:hideMark/>
          </w:tcPr>
          <w:p w14:paraId="0847F81A" w14:textId="77777777" w:rsidR="004D51E8" w:rsidRDefault="004D51E8">
            <w:pPr>
              <w:widowControl/>
              <w:jc w:val="left"/>
              <w:rPr>
                <w:rFonts w:ascii="仿宋_GB2312" w:eastAsia="仿宋_GB2312" w:hAnsi="等线" w:cs="宋体"/>
                <w:color w:val="000000"/>
                <w:kern w:val="0"/>
                <w:sz w:val="24"/>
              </w:rPr>
            </w:pPr>
            <w:r>
              <w:rPr>
                <w:rFonts w:ascii="仿宋_GB2312" w:eastAsia="仿宋_GB2312" w:hAnsi="等线" w:cs="宋体" w:hint="eastAsia"/>
                <w:color w:val="000000"/>
                <w:kern w:val="0"/>
                <w:sz w:val="24"/>
              </w:rPr>
              <w:t>各级各类科研平台及相关项目</w:t>
            </w:r>
          </w:p>
        </w:tc>
        <w:tc>
          <w:tcPr>
            <w:tcW w:w="1842" w:type="dxa"/>
            <w:tcBorders>
              <w:top w:val="nil"/>
              <w:left w:val="nil"/>
              <w:bottom w:val="single" w:sz="4" w:space="0" w:color="auto"/>
              <w:right w:val="single" w:sz="4" w:space="0" w:color="auto"/>
            </w:tcBorders>
            <w:noWrap/>
            <w:vAlign w:val="center"/>
            <w:hideMark/>
          </w:tcPr>
          <w:p w14:paraId="4C05B2F2" w14:textId="77777777" w:rsidR="004D51E8" w:rsidRDefault="004D51E8">
            <w:pPr>
              <w:widowControl/>
              <w:jc w:val="center"/>
              <w:rPr>
                <w:rFonts w:ascii="仿宋_GB2312" w:eastAsia="仿宋_GB2312" w:hAnsi="等线" w:cs="宋体"/>
                <w:color w:val="000000"/>
                <w:kern w:val="0"/>
                <w:sz w:val="24"/>
              </w:rPr>
            </w:pPr>
            <w:r>
              <w:rPr>
                <w:rFonts w:ascii="仿宋_GB2312" w:eastAsia="仿宋_GB2312" w:hAnsi="等线" w:cs="宋体" w:hint="eastAsia"/>
                <w:color w:val="000000"/>
                <w:kern w:val="0"/>
                <w:sz w:val="24"/>
              </w:rPr>
              <w:t>34</w:t>
            </w:r>
          </w:p>
        </w:tc>
        <w:tc>
          <w:tcPr>
            <w:tcW w:w="2556" w:type="dxa"/>
            <w:tcBorders>
              <w:top w:val="nil"/>
              <w:left w:val="nil"/>
              <w:bottom w:val="single" w:sz="4" w:space="0" w:color="auto"/>
              <w:right w:val="single" w:sz="4" w:space="0" w:color="auto"/>
            </w:tcBorders>
            <w:noWrap/>
            <w:vAlign w:val="center"/>
            <w:hideMark/>
          </w:tcPr>
          <w:p w14:paraId="11AEBBEB" w14:textId="77777777" w:rsidR="004D51E8" w:rsidRDefault="004D51E8">
            <w:pPr>
              <w:widowControl/>
              <w:jc w:val="center"/>
              <w:rPr>
                <w:rFonts w:ascii="仿宋_GB2312" w:eastAsia="仿宋_GB2312" w:hAnsi="等线" w:cs="宋体"/>
                <w:color w:val="000000"/>
                <w:kern w:val="0"/>
                <w:sz w:val="24"/>
              </w:rPr>
            </w:pPr>
            <w:r>
              <w:rPr>
                <w:rFonts w:ascii="仿宋_GB2312" w:eastAsia="仿宋_GB2312" w:hAnsi="等线" w:cs="宋体" w:hint="eastAsia"/>
                <w:color w:val="000000"/>
                <w:kern w:val="0"/>
                <w:sz w:val="24"/>
              </w:rPr>
              <w:t xml:space="preserve">           52,693 </w:t>
            </w:r>
          </w:p>
        </w:tc>
      </w:tr>
      <w:tr w:rsidR="004D51E8" w14:paraId="1C33CAFE" w14:textId="77777777" w:rsidTr="004D51E8">
        <w:trPr>
          <w:trHeight w:val="375"/>
        </w:trPr>
        <w:tc>
          <w:tcPr>
            <w:tcW w:w="3996" w:type="dxa"/>
            <w:tcBorders>
              <w:top w:val="nil"/>
              <w:left w:val="single" w:sz="4" w:space="0" w:color="auto"/>
              <w:bottom w:val="single" w:sz="4" w:space="0" w:color="auto"/>
              <w:right w:val="single" w:sz="4" w:space="0" w:color="auto"/>
            </w:tcBorders>
            <w:noWrap/>
            <w:vAlign w:val="center"/>
            <w:hideMark/>
          </w:tcPr>
          <w:p w14:paraId="001285B0" w14:textId="77777777" w:rsidR="004D51E8" w:rsidRDefault="004D51E8">
            <w:pPr>
              <w:widowControl/>
              <w:jc w:val="center"/>
              <w:rPr>
                <w:rFonts w:ascii="仿宋_GB2312" w:eastAsia="仿宋_GB2312" w:hAnsi="等线" w:cs="宋体"/>
                <w:b/>
                <w:bCs/>
                <w:color w:val="000000"/>
                <w:kern w:val="0"/>
                <w:sz w:val="24"/>
              </w:rPr>
            </w:pPr>
            <w:r>
              <w:rPr>
                <w:rFonts w:ascii="仿宋_GB2312" w:eastAsia="仿宋_GB2312" w:hAnsi="等线" w:cs="宋体" w:hint="eastAsia"/>
                <w:b/>
                <w:bCs/>
                <w:color w:val="000000"/>
                <w:kern w:val="0"/>
                <w:sz w:val="24"/>
              </w:rPr>
              <w:t>合计</w:t>
            </w:r>
          </w:p>
        </w:tc>
        <w:tc>
          <w:tcPr>
            <w:tcW w:w="1842" w:type="dxa"/>
            <w:tcBorders>
              <w:top w:val="nil"/>
              <w:left w:val="nil"/>
              <w:bottom w:val="single" w:sz="4" w:space="0" w:color="auto"/>
              <w:right w:val="single" w:sz="4" w:space="0" w:color="auto"/>
            </w:tcBorders>
            <w:noWrap/>
            <w:vAlign w:val="center"/>
            <w:hideMark/>
          </w:tcPr>
          <w:p w14:paraId="619F6A68" w14:textId="77777777" w:rsidR="004D51E8" w:rsidRDefault="004D51E8">
            <w:pPr>
              <w:widowControl/>
              <w:jc w:val="center"/>
              <w:rPr>
                <w:rFonts w:ascii="仿宋_GB2312" w:eastAsia="仿宋_GB2312" w:hAnsi="等线" w:cs="宋体"/>
                <w:b/>
                <w:bCs/>
                <w:color w:val="000000"/>
                <w:kern w:val="0"/>
                <w:sz w:val="24"/>
              </w:rPr>
            </w:pPr>
            <w:r>
              <w:rPr>
                <w:rFonts w:ascii="仿宋_GB2312" w:eastAsia="仿宋_GB2312" w:hAnsi="等线" w:cs="宋体" w:hint="eastAsia"/>
                <w:b/>
                <w:bCs/>
                <w:color w:val="000000"/>
                <w:kern w:val="0"/>
                <w:sz w:val="24"/>
              </w:rPr>
              <w:t>787</w:t>
            </w:r>
          </w:p>
        </w:tc>
        <w:tc>
          <w:tcPr>
            <w:tcW w:w="2556" w:type="dxa"/>
            <w:tcBorders>
              <w:top w:val="nil"/>
              <w:left w:val="nil"/>
              <w:bottom w:val="single" w:sz="4" w:space="0" w:color="auto"/>
              <w:right w:val="single" w:sz="4" w:space="0" w:color="auto"/>
            </w:tcBorders>
            <w:noWrap/>
            <w:vAlign w:val="center"/>
            <w:hideMark/>
          </w:tcPr>
          <w:p w14:paraId="3BC1FDD6" w14:textId="77777777" w:rsidR="004D51E8" w:rsidRDefault="004D51E8">
            <w:pPr>
              <w:widowControl/>
              <w:jc w:val="center"/>
              <w:rPr>
                <w:rFonts w:ascii="仿宋_GB2312" w:eastAsia="仿宋_GB2312" w:hAnsi="等线" w:cs="宋体"/>
                <w:b/>
                <w:bCs/>
                <w:color w:val="000000"/>
                <w:kern w:val="0"/>
                <w:sz w:val="24"/>
              </w:rPr>
            </w:pPr>
            <w:r>
              <w:rPr>
                <w:rFonts w:ascii="仿宋_GB2312" w:eastAsia="仿宋_GB2312" w:hAnsi="等线" w:cs="宋体" w:hint="eastAsia"/>
                <w:b/>
                <w:bCs/>
                <w:color w:val="000000"/>
                <w:kern w:val="0"/>
                <w:sz w:val="24"/>
              </w:rPr>
              <w:t xml:space="preserve">          152,440 </w:t>
            </w:r>
          </w:p>
        </w:tc>
      </w:tr>
    </w:tbl>
    <w:p w14:paraId="09FF3A5C" w14:textId="77777777" w:rsidR="004D51E8" w:rsidRDefault="004D51E8" w:rsidP="004D51E8">
      <w:pPr>
        <w:spacing w:line="540" w:lineRule="exact"/>
        <w:ind w:firstLineChars="200" w:firstLine="640"/>
        <w:rPr>
          <w:rFonts w:ascii="仿宋_GB2312" w:eastAsia="仿宋_GB2312"/>
          <w:sz w:val="32"/>
          <w:szCs w:val="32"/>
        </w:rPr>
      </w:pPr>
      <w:r>
        <w:rPr>
          <w:rFonts w:ascii="仿宋_GB2312" w:eastAsia="仿宋_GB2312" w:hint="eastAsia"/>
          <w:sz w:val="32"/>
          <w:szCs w:val="32"/>
        </w:rPr>
        <w:t>我校牵头建设的深圳国家应用数学中心，是我校首个获批建设的国家级平台；获批省部级科研平台6项；牵头建设2个诺贝尔奖科学家实验室；牵头3项广东省海洋实验室院士团队/重大专项项目，获</w:t>
      </w:r>
      <w:proofErr w:type="gramStart"/>
      <w:r>
        <w:rPr>
          <w:rFonts w:ascii="仿宋_GB2312" w:eastAsia="仿宋_GB2312" w:hint="eastAsia"/>
          <w:sz w:val="32"/>
          <w:szCs w:val="32"/>
        </w:rPr>
        <w:t>批综合</w:t>
      </w:r>
      <w:proofErr w:type="gramEnd"/>
      <w:r>
        <w:rPr>
          <w:rFonts w:ascii="仿宋_GB2312" w:eastAsia="仿宋_GB2312" w:hint="eastAsia"/>
          <w:sz w:val="32"/>
          <w:szCs w:val="32"/>
        </w:rPr>
        <w:t>粒子设施研究院预研项目1项。</w:t>
      </w:r>
    </w:p>
    <w:p w14:paraId="1F6E84DC" w14:textId="77777777" w:rsidR="004D51E8" w:rsidRDefault="004D51E8" w:rsidP="004D51E8">
      <w:pPr>
        <w:pStyle w:val="a7"/>
        <w:spacing w:line="560" w:lineRule="exact"/>
        <w:ind w:firstLine="643"/>
        <w:rPr>
          <w:b/>
          <w:bCs/>
          <w:sz w:val="32"/>
        </w:rPr>
      </w:pPr>
      <w:r>
        <w:rPr>
          <w:rFonts w:hint="eastAsia"/>
          <w:b/>
          <w:bCs/>
          <w:sz w:val="32"/>
        </w:rPr>
        <w:t>4.创新社会服务，支持城市建设和国家产业战略发展。</w:t>
      </w:r>
    </w:p>
    <w:p w14:paraId="6DEBB08E" w14:textId="77777777" w:rsidR="004D51E8" w:rsidRDefault="004D51E8" w:rsidP="004D51E8">
      <w:pPr>
        <w:pStyle w:val="a7"/>
        <w:spacing w:line="560" w:lineRule="exact"/>
        <w:ind w:firstLine="640"/>
        <w:rPr>
          <w:sz w:val="32"/>
          <w:szCs w:val="32"/>
          <w:lang w:val="en-US"/>
        </w:rPr>
      </w:pPr>
      <w:r>
        <w:rPr>
          <w:rFonts w:hint="eastAsia"/>
          <w:sz w:val="32"/>
          <w:szCs w:val="32"/>
          <w:lang w:val="en-US"/>
        </w:rPr>
        <w:t>开拓产学研平台建设支持城市建设。2020年7月9日，坪山新区人民政府与学校签订“南科大坪山生物医药研究院”</w:t>
      </w:r>
      <w:r>
        <w:rPr>
          <w:rFonts w:hint="eastAsia"/>
          <w:sz w:val="32"/>
          <w:szCs w:val="32"/>
          <w:lang w:val="en-US"/>
        </w:rPr>
        <w:lastRenderedPageBreak/>
        <w:t>相关协议，年内正式揭牌运营。2020年10月21日，宝安区政府与学校签订补充协议，推动共建“南方工业技术研究院（深圳）”，并举行项目入驻仪式。2020年11月12日，浙江省嘉兴市人民政府与学校签订共建“南方科技大学嘉兴研究院”相关协议，推动研究院落地运营。</w:t>
      </w:r>
    </w:p>
    <w:p w14:paraId="05E1201D" w14:textId="77777777" w:rsidR="004D51E8" w:rsidRDefault="004D51E8" w:rsidP="004D51E8">
      <w:pPr>
        <w:spacing w:line="560" w:lineRule="exact"/>
        <w:ind w:firstLine="709"/>
        <w:rPr>
          <w:rFonts w:ascii="仿宋_GB2312" w:eastAsia="仿宋_GB2312"/>
          <w:sz w:val="32"/>
          <w:szCs w:val="32"/>
        </w:rPr>
      </w:pPr>
      <w:r>
        <w:rPr>
          <w:rFonts w:ascii="仿宋_GB2312" w:eastAsia="仿宋_GB2312" w:hint="eastAsia"/>
          <w:sz w:val="32"/>
          <w:szCs w:val="32"/>
        </w:rPr>
        <w:t>全面铺开校企横向合作。2020年我校与企业新成立14家校企联合科技机构，包括华为、</w:t>
      </w:r>
      <w:r>
        <w:rPr>
          <w:rFonts w:ascii="仿宋_GB2312" w:eastAsia="仿宋_GB2312" w:hAnsi="仿宋" w:cs="仿宋" w:hint="eastAsia"/>
          <w:sz w:val="32"/>
          <w:szCs w:val="32"/>
        </w:rPr>
        <w:t>腾讯、智芯微、平安、歌尔、正威、大金、欧姆龙等境内外行业领先企业</w:t>
      </w:r>
      <w:r>
        <w:rPr>
          <w:rFonts w:ascii="仿宋_GB2312" w:eastAsia="仿宋_GB2312" w:hint="eastAsia"/>
          <w:sz w:val="32"/>
          <w:szCs w:val="32"/>
        </w:rPr>
        <w:t>；横向项目共计206项，合同总经费达2.99亿，同比增长141%。其中与华为在半导体、材料、量子、人工智能、无线电等领域开展24项合作项目，服务国家产业战略发展需求，合同金额累计达1.26亿。本年度横向合作总到账金额1.01亿元，同比增长133.36%。</w:t>
      </w:r>
    </w:p>
    <w:p w14:paraId="2899BB00" w14:textId="1DF64A08" w:rsidR="004D51E8" w:rsidRDefault="004D51E8" w:rsidP="004D51E8">
      <w:pPr>
        <w:pStyle w:val="a7"/>
        <w:spacing w:line="560" w:lineRule="exact"/>
        <w:ind w:firstLine="643"/>
        <w:rPr>
          <w:b/>
          <w:bCs/>
          <w:sz w:val="32"/>
          <w:szCs w:val="32"/>
        </w:rPr>
      </w:pPr>
      <w:r>
        <w:rPr>
          <w:rFonts w:hint="eastAsia"/>
          <w:b/>
          <w:bCs/>
          <w:sz w:val="32"/>
        </w:rPr>
        <w:t>5.人才引进工作成果突出</w:t>
      </w:r>
      <w:r w:rsidR="00710307">
        <w:rPr>
          <w:rFonts w:hint="eastAsia"/>
          <w:b/>
          <w:bCs/>
          <w:sz w:val="32"/>
        </w:rPr>
        <w:t>。</w:t>
      </w:r>
    </w:p>
    <w:p w14:paraId="2CA7A6E6" w14:textId="77777777" w:rsidR="004D51E8" w:rsidRDefault="004D51E8" w:rsidP="004D51E8">
      <w:pPr>
        <w:spacing w:line="580" w:lineRule="exact"/>
        <w:ind w:firstLineChars="200" w:firstLine="640"/>
        <w:rPr>
          <w:rFonts w:ascii="仿宋_GB2312" w:eastAsia="仿宋_GB2312"/>
          <w:sz w:val="32"/>
          <w:szCs w:val="32"/>
        </w:rPr>
      </w:pPr>
      <w:r>
        <w:rPr>
          <w:rFonts w:ascii="仿宋_GB2312" w:eastAsia="仿宋_GB2312" w:hint="eastAsia"/>
          <w:sz w:val="32"/>
          <w:szCs w:val="32"/>
        </w:rPr>
        <w:t>我校坚持以高标准、高要求面向全球引才，根据我校学术委员会会议精神，2020年签约引进211余人，其中教研序列教师78人（含院士6人），国家重大人才工程引进类（含青年）6人，“国家自然科学基金杰出青年基金”获得者1人，“国家自然科学基金优秀青年”获得者1人，长江学者1人。我校连续五年获得“深圳市人才引进伯乐奖”第一名。</w:t>
      </w:r>
    </w:p>
    <w:p w14:paraId="36BA8C5D" w14:textId="77777777" w:rsidR="004D51E8" w:rsidRDefault="004D51E8" w:rsidP="004D51E8">
      <w:pPr>
        <w:spacing w:line="580" w:lineRule="exact"/>
        <w:ind w:firstLineChars="200" w:firstLine="640"/>
        <w:rPr>
          <w:rFonts w:ascii="仿宋_GB2312" w:eastAsia="仿宋_GB2312"/>
          <w:sz w:val="32"/>
          <w:szCs w:val="32"/>
        </w:rPr>
      </w:pPr>
      <w:r>
        <w:rPr>
          <w:rFonts w:ascii="仿宋_GB2312" w:eastAsia="仿宋_GB2312" w:hint="eastAsia"/>
          <w:sz w:val="32"/>
          <w:szCs w:val="32"/>
        </w:rPr>
        <w:t>为落实疫情防控工作，我校2020年高层次人才引进业务“隔空办”，根据国家、省、市、学校境外人员有关疫情防控政策，及时收集外籍专家信息，定时向上级部门汇报。同时，及时了解外籍专家入境政策，办理来华签证邀请函及高</w:t>
      </w:r>
      <w:r>
        <w:rPr>
          <w:rFonts w:ascii="仿宋_GB2312" w:eastAsia="仿宋_GB2312" w:hint="eastAsia"/>
          <w:sz w:val="32"/>
          <w:szCs w:val="32"/>
        </w:rPr>
        <w:lastRenderedPageBreak/>
        <w:t>端人才确认函69人次，确保外籍专家及时返校到岗。针对疫情情况，改进深圳市高层次人才业务办理途径，实现全程线上办理，为我校教职工提供更为便捷的业务办理途径；同时建立新入职人员实时信息表，确保所有进校入职人员符合疫情防控要求，可顺利进校。</w:t>
      </w:r>
    </w:p>
    <w:p w14:paraId="2DA79837" w14:textId="77777777" w:rsidR="004D51E8" w:rsidRDefault="004D51E8" w:rsidP="004D51E8">
      <w:pPr>
        <w:spacing w:line="580" w:lineRule="exact"/>
        <w:ind w:firstLineChars="250" w:firstLine="803"/>
        <w:rPr>
          <w:rFonts w:ascii="仿宋_GB2312" w:eastAsia="仿宋_GB2312"/>
          <w:b/>
          <w:bCs/>
          <w:kern w:val="0"/>
          <w:sz w:val="32"/>
          <w:szCs w:val="28"/>
          <w:lang w:val="zh-CN"/>
        </w:rPr>
      </w:pPr>
      <w:r>
        <w:rPr>
          <w:rFonts w:ascii="仿宋_GB2312" w:eastAsia="仿宋_GB2312" w:hint="eastAsia"/>
          <w:b/>
          <w:bCs/>
          <w:kern w:val="0"/>
          <w:sz w:val="32"/>
          <w:szCs w:val="28"/>
          <w:lang w:val="zh-CN"/>
        </w:rPr>
        <w:t>6. 国际化办学进展稳步推进。</w:t>
      </w:r>
    </w:p>
    <w:p w14:paraId="118733F3" w14:textId="77777777" w:rsidR="004D51E8" w:rsidRDefault="004D51E8" w:rsidP="004D51E8">
      <w:pPr>
        <w:spacing w:line="580" w:lineRule="exact"/>
        <w:ind w:firstLineChars="250" w:firstLine="800"/>
        <w:rPr>
          <w:rFonts w:ascii="仿宋_GB2312" w:eastAsia="仿宋_GB2312"/>
          <w:sz w:val="32"/>
          <w:szCs w:val="32"/>
        </w:rPr>
      </w:pPr>
      <w:r>
        <w:rPr>
          <w:rFonts w:ascii="仿宋_GB2312" w:eastAsia="仿宋_GB2312" w:hint="eastAsia"/>
          <w:sz w:val="32"/>
          <w:szCs w:val="32"/>
        </w:rPr>
        <w:t>2020年3月正式成立南方科技大学-巴黎HEC商学院国际管理和创业联合中心，2020年8月我校与巴黎HEC商学院签订框架合作协议，联合中心在商学院、金融系等相关院系配合下稳步发展，2020年10月正式启动南科大与HEC双学位合作：专业-金融管理硕士学位，预计2021年3月份向教育部提交中外合作办学申请。中外合作办学项目是双方合作的一大亮点，将有助于进一步扩大我校的国际影响力、提升我校的国际声誉。</w:t>
      </w:r>
    </w:p>
    <w:p w14:paraId="0AE0AD13" w14:textId="77777777" w:rsidR="004D51E8" w:rsidRDefault="004D51E8" w:rsidP="004D51E8">
      <w:pPr>
        <w:spacing w:line="580" w:lineRule="exact"/>
        <w:ind w:firstLineChars="250" w:firstLine="800"/>
        <w:rPr>
          <w:rFonts w:ascii="仿宋_GB2312" w:eastAsia="仿宋_GB2312"/>
          <w:sz w:val="32"/>
          <w:szCs w:val="32"/>
        </w:rPr>
      </w:pPr>
      <w:r>
        <w:rPr>
          <w:rFonts w:ascii="仿宋_GB2312" w:eastAsia="仿宋_GB2312" w:hint="eastAsia"/>
          <w:sz w:val="32"/>
          <w:szCs w:val="32"/>
        </w:rPr>
        <w:t>2020年10月28日，经广东省教育厅和广东省人民政府审核，我校正式向教育部提交联合医学院（中外合作办学机构）设立申请。一个月后，我校收到教育部专家组评议通知，联合医学院筹备办公室牵头快速组建工作团队，并积极联系英国伦敦国王学院，为教育部专家组评议做好充分准备。工作团队由薛其坤校长领导、鲁春副校长带队，于2020年12月赴北京现场参会，伦敦国王学院从英国远程接入，各方团结合作，顺利完成教育部专家组的评议和现场答辩，获得一致肯定和高度评价，被认为是多年来前期准备最为充分、申报材料最为完备、合作基础最为深厚、双方合作意愿最为</w:t>
      </w:r>
      <w:r>
        <w:rPr>
          <w:rFonts w:ascii="仿宋_GB2312" w:eastAsia="仿宋_GB2312" w:hint="eastAsia"/>
          <w:sz w:val="32"/>
          <w:szCs w:val="32"/>
        </w:rPr>
        <w:lastRenderedPageBreak/>
        <w:t>强烈的中外合作办学机构，为我校继续超常规发展、实现跨越式发展增添一抹亮色。</w:t>
      </w:r>
    </w:p>
    <w:p w14:paraId="685C636E" w14:textId="77777777" w:rsidR="004D51E8" w:rsidRDefault="004D51E8" w:rsidP="004D51E8">
      <w:pPr>
        <w:spacing w:line="580" w:lineRule="exact"/>
        <w:ind w:firstLineChars="250" w:firstLine="800"/>
        <w:rPr>
          <w:rFonts w:ascii="仿宋_GB2312" w:eastAsia="仿宋_GB2312"/>
          <w:sz w:val="32"/>
          <w:szCs w:val="32"/>
        </w:rPr>
      </w:pPr>
      <w:r>
        <w:rPr>
          <w:rFonts w:ascii="仿宋_GB2312" w:eastAsia="仿宋_GB2312" w:hint="eastAsia"/>
          <w:sz w:val="32"/>
          <w:szCs w:val="32"/>
        </w:rPr>
        <w:t>加强与德国、日本、以色列和瑞士几个国家的合作拓展，积极发展“一带一路”国家高校及机构的合作。接待多国驻华使节与国际组织代表来校访问，密切与国际合作伙伴的定期联络，2020年我校积极与主要合作伙伴</w:t>
      </w:r>
      <w:proofErr w:type="gramStart"/>
      <w:r>
        <w:rPr>
          <w:rFonts w:ascii="仿宋_GB2312" w:eastAsia="仿宋_GB2312" w:hint="eastAsia"/>
          <w:sz w:val="32"/>
          <w:szCs w:val="32"/>
        </w:rPr>
        <w:t>保持线</w:t>
      </w:r>
      <w:proofErr w:type="gramEnd"/>
      <w:r>
        <w:rPr>
          <w:rFonts w:ascii="仿宋_GB2312" w:eastAsia="仿宋_GB2312" w:hint="eastAsia"/>
          <w:sz w:val="32"/>
          <w:szCs w:val="32"/>
        </w:rPr>
        <w:t>上视频或书面邮件联系，与45所国际合作伙伴学校密切交流疫情防控体会与经验做法，收到慕尼黑工业大学、帝国理工学院、华盛顿大学、苏黎士大学、悉尼大学、韩国科学技术院、名古屋大学、希伯来大学等45所境外知名高校校长来信；进一步联络拓展校际合作事宜，在受疫情影响的大背景下保证了国际合作业务得到维持并得以进一步推进。我校与多个大学签订合作、交换及交流协议，如：与日本立命馆大学合作协议；与韩国高丽大学学生交换协议；与美国莱斯大学、南加州大学、布兰迪斯大学、罗格斯大学学生交流协议等。</w:t>
      </w:r>
    </w:p>
    <w:p w14:paraId="3B5F4F46" w14:textId="77777777" w:rsidR="004D51E8" w:rsidRDefault="004D51E8" w:rsidP="004D51E8">
      <w:pPr>
        <w:spacing w:line="580" w:lineRule="exact"/>
        <w:ind w:firstLineChars="200" w:firstLine="640"/>
        <w:rPr>
          <w:rFonts w:ascii="仿宋_GB2312" w:eastAsia="仿宋_GB2312"/>
          <w:sz w:val="32"/>
          <w:szCs w:val="32"/>
        </w:rPr>
      </w:pPr>
      <w:r>
        <w:rPr>
          <w:rFonts w:ascii="仿宋_GB2312" w:eastAsia="仿宋_GB2312" w:hint="eastAsia"/>
          <w:sz w:val="32"/>
          <w:szCs w:val="32"/>
        </w:rPr>
        <w:t>继续加强港澳台交流合作。2020年7月10日，我校副校长张东晓院士出席“2020粤港澳高校联盟年会暨校长论坛”线上会议并发表讲话。我校学生参与大湾区高校联盟寒暑期课程项目5项，高校学术竞赛论坛或会议3个；克服疫情影响，我校完成与香港理工大学交换协议的第一次本科生交换工作；组织全校各院系申报2021年度教育部“港澳与内地大中小学师生交流计划大学生项目”；组织我校师生前往澳门旅游学院进行文艺表演。此外，为加强与境内外高校、南山区政府及企业的互动，我校承接“新青年领航者计划”，2020</w:t>
      </w:r>
      <w:r>
        <w:rPr>
          <w:rFonts w:ascii="仿宋_GB2312" w:eastAsia="仿宋_GB2312" w:hint="eastAsia"/>
          <w:sz w:val="32"/>
          <w:szCs w:val="32"/>
        </w:rPr>
        <w:lastRenderedPageBreak/>
        <w:t>年7月31日及8月22日分别接待来自港澳、内地高校及内地中外合作办学高校学生，共计超120人。</w:t>
      </w:r>
    </w:p>
    <w:p w14:paraId="527101E0" w14:textId="77777777" w:rsidR="004D51E8" w:rsidRDefault="004D51E8" w:rsidP="004D51E8">
      <w:pPr>
        <w:spacing w:line="580" w:lineRule="exact"/>
        <w:ind w:firstLineChars="200" w:firstLine="640"/>
        <w:rPr>
          <w:rFonts w:ascii="仿宋_GB2312" w:eastAsia="仿宋_GB2312"/>
          <w:sz w:val="32"/>
          <w:szCs w:val="32"/>
        </w:rPr>
      </w:pPr>
      <w:r>
        <w:rPr>
          <w:rFonts w:ascii="仿宋_GB2312" w:eastAsia="仿宋_GB2312" w:hint="eastAsia"/>
          <w:sz w:val="32"/>
          <w:szCs w:val="32"/>
        </w:rPr>
        <w:t>受疫情影响，我校学生海外学习项目基本暂停，为鼓励学生积极参与海外学习，发布在线海外学习项目资助办法，为参与</w:t>
      </w:r>
      <w:proofErr w:type="gramStart"/>
      <w:r>
        <w:rPr>
          <w:rFonts w:ascii="仿宋_GB2312" w:eastAsia="仿宋_GB2312" w:hint="eastAsia"/>
          <w:sz w:val="32"/>
          <w:szCs w:val="32"/>
        </w:rPr>
        <w:t>暑期和</w:t>
      </w:r>
      <w:proofErr w:type="gramEnd"/>
      <w:r>
        <w:rPr>
          <w:rFonts w:ascii="仿宋_GB2312" w:eastAsia="仿宋_GB2312" w:hint="eastAsia"/>
          <w:sz w:val="32"/>
          <w:szCs w:val="32"/>
        </w:rPr>
        <w:t>秋季在线项目的学生提供资助支持、统一购买在线课程，为学生提供更多海外课程资源。</w:t>
      </w:r>
    </w:p>
    <w:p w14:paraId="5461D939" w14:textId="77777777" w:rsidR="004D51E8" w:rsidRDefault="004D51E8" w:rsidP="004D51E8">
      <w:pPr>
        <w:spacing w:line="580" w:lineRule="exact"/>
        <w:ind w:firstLineChars="200" w:firstLine="640"/>
        <w:rPr>
          <w:rFonts w:ascii="仿宋_GB2312" w:eastAsia="仿宋_GB2312"/>
          <w:sz w:val="32"/>
          <w:szCs w:val="32"/>
        </w:rPr>
      </w:pPr>
      <w:r>
        <w:rPr>
          <w:rFonts w:ascii="仿宋_GB2312" w:eastAsia="仿宋_GB2312" w:hint="eastAsia"/>
          <w:sz w:val="32"/>
          <w:szCs w:val="32"/>
        </w:rPr>
        <w:t>进一步推动国际化校园建设。2020年初我校成立校园国际化行动小组，专门负责英文通知、标识、国际化专员队伍和同声传译服务建设，并将国际化建设纳入年度部门考核。目前学校已正式发文，明确要求校内单位发送通知需中英双语。</w:t>
      </w:r>
    </w:p>
    <w:p w14:paraId="48D73A4C" w14:textId="77777777" w:rsidR="004D51E8" w:rsidRDefault="004D51E8" w:rsidP="004D51E8">
      <w:pPr>
        <w:spacing w:line="580" w:lineRule="exact"/>
        <w:ind w:firstLineChars="250" w:firstLine="803"/>
        <w:rPr>
          <w:rFonts w:ascii="楷体_GB2312" w:eastAsia="楷体_GB2312" w:hAnsi="楷体"/>
          <w:b/>
          <w:sz w:val="32"/>
          <w:szCs w:val="32"/>
        </w:rPr>
      </w:pPr>
      <w:r>
        <w:rPr>
          <w:rFonts w:ascii="楷体_GB2312" w:eastAsia="楷体_GB2312" w:hAnsi="楷体" w:hint="eastAsia"/>
          <w:b/>
          <w:sz w:val="32"/>
          <w:szCs w:val="32"/>
        </w:rPr>
        <w:t>（三）履职绩效情况</w:t>
      </w:r>
    </w:p>
    <w:p w14:paraId="03E4403E" w14:textId="77777777" w:rsidR="004D51E8" w:rsidRDefault="004D51E8" w:rsidP="004D51E8">
      <w:pPr>
        <w:spacing w:line="580" w:lineRule="exact"/>
        <w:ind w:firstLineChars="200" w:firstLine="643"/>
        <w:rPr>
          <w:rFonts w:ascii="仿宋_GB2312" w:eastAsia="仿宋_GB2312"/>
          <w:b/>
          <w:bCs/>
          <w:sz w:val="32"/>
          <w:szCs w:val="32"/>
        </w:rPr>
      </w:pPr>
      <w:r>
        <w:rPr>
          <w:rFonts w:ascii="仿宋_GB2312" w:eastAsia="仿宋_GB2312" w:hint="eastAsia"/>
          <w:b/>
          <w:bCs/>
          <w:sz w:val="32"/>
          <w:szCs w:val="32"/>
        </w:rPr>
        <w:t>1.党建创新取得较大成效。</w:t>
      </w:r>
    </w:p>
    <w:p w14:paraId="66813AB3" w14:textId="77777777" w:rsidR="004D51E8" w:rsidRDefault="004D51E8" w:rsidP="004D51E8">
      <w:pPr>
        <w:spacing w:line="580" w:lineRule="exact"/>
        <w:ind w:firstLineChars="200" w:firstLine="640"/>
        <w:rPr>
          <w:rFonts w:ascii="仿宋_GB2312" w:eastAsia="仿宋_GB2312"/>
          <w:sz w:val="32"/>
          <w:szCs w:val="32"/>
        </w:rPr>
      </w:pPr>
      <w:r>
        <w:rPr>
          <w:rFonts w:ascii="仿宋_GB2312" w:eastAsia="仿宋_GB2312" w:hint="eastAsia"/>
          <w:sz w:val="32"/>
          <w:szCs w:val="32"/>
        </w:rPr>
        <w:t>在第三批“双创”和第二批“双带头人”教师党支部书记工作室申报工作中，我校首次创建1个全国“双带头人”教师党支部书记工作室、1个全省“标杆院系”、1个全省“双带头人”教师党支部书记工作室，新增2个全省“样板支部”。截至目前，我校共有1个全国“双带头人”教师党支部书记工作室、1个全国“样板支部”，1个全省“标杆院系”、1个全省“双带头人”教师党支部书记工作室、3个全省“样板支部”。</w:t>
      </w:r>
    </w:p>
    <w:p w14:paraId="06B5DD5E" w14:textId="77777777" w:rsidR="004D51E8" w:rsidRDefault="004D51E8" w:rsidP="004D51E8">
      <w:pPr>
        <w:spacing w:line="580" w:lineRule="exact"/>
        <w:ind w:firstLineChars="200" w:firstLine="643"/>
        <w:rPr>
          <w:rFonts w:ascii="仿宋_GB2312" w:eastAsia="仿宋_GB2312"/>
          <w:b/>
          <w:bCs/>
          <w:sz w:val="32"/>
          <w:szCs w:val="32"/>
        </w:rPr>
      </w:pPr>
      <w:r>
        <w:rPr>
          <w:rFonts w:ascii="仿宋_GB2312" w:eastAsia="仿宋_GB2312" w:hint="eastAsia"/>
          <w:b/>
          <w:bCs/>
          <w:sz w:val="32"/>
          <w:szCs w:val="32"/>
        </w:rPr>
        <w:t>2.</w:t>
      </w:r>
      <w:r>
        <w:t xml:space="preserve"> </w:t>
      </w:r>
      <w:r>
        <w:rPr>
          <w:rFonts w:ascii="仿宋_GB2312" w:eastAsia="仿宋_GB2312" w:hint="eastAsia"/>
          <w:b/>
          <w:bCs/>
          <w:sz w:val="32"/>
          <w:szCs w:val="32"/>
        </w:rPr>
        <w:t>人才培养质量进一步提升。</w:t>
      </w:r>
    </w:p>
    <w:p w14:paraId="09FA07B0" w14:textId="77777777" w:rsidR="004D51E8" w:rsidRDefault="004D51E8" w:rsidP="004D51E8">
      <w:pPr>
        <w:spacing w:line="580" w:lineRule="exact"/>
        <w:ind w:firstLineChars="200" w:firstLine="640"/>
        <w:rPr>
          <w:rFonts w:ascii="仿宋_GB2312" w:eastAsia="仿宋_GB2312"/>
          <w:sz w:val="32"/>
          <w:szCs w:val="32"/>
        </w:rPr>
      </w:pPr>
      <w:r>
        <w:rPr>
          <w:rFonts w:ascii="仿宋_GB2312" w:eastAsia="仿宋_GB2312" w:hint="eastAsia"/>
          <w:sz w:val="32"/>
          <w:szCs w:val="32"/>
        </w:rPr>
        <w:t>招生人数“九连涨”，生源质量稳步提升。2020年，我校面向22个省（市、自治区）连续第九年采用基于高考的综</w:t>
      </w:r>
      <w:r>
        <w:rPr>
          <w:rFonts w:ascii="仿宋_GB2312" w:eastAsia="仿宋_GB2312" w:hint="eastAsia"/>
          <w:sz w:val="32"/>
          <w:szCs w:val="32"/>
        </w:rPr>
        <w:lastRenderedPageBreak/>
        <w:t>合评价录取模式，并继续试点提前</w:t>
      </w:r>
      <w:proofErr w:type="gramStart"/>
      <w:r>
        <w:rPr>
          <w:rFonts w:ascii="仿宋_GB2312" w:eastAsia="仿宋_GB2312" w:hint="eastAsia"/>
          <w:sz w:val="32"/>
          <w:szCs w:val="32"/>
        </w:rPr>
        <w:t>批普通</w:t>
      </w:r>
      <w:proofErr w:type="gramEnd"/>
      <w:r>
        <w:rPr>
          <w:rFonts w:ascii="仿宋_GB2312" w:eastAsia="仿宋_GB2312" w:hint="eastAsia"/>
          <w:sz w:val="32"/>
          <w:szCs w:val="32"/>
        </w:rPr>
        <w:t>高考录取模式招收本科新生，网上报名考生达4.3万人，参加能力测试考生达1.45万人。实际录取人数1,097人，比2019年扩招33人，增幅为3.1%。招生人数连续第九年增长。2020年，所录取的新生不仅在创新能力、综合素质、平时学业等方面表现突出，高考成绩也十分优秀。高考成绩在综合评价录取中占60%，是最重要的</w:t>
      </w:r>
      <w:proofErr w:type="gramStart"/>
      <w:r>
        <w:rPr>
          <w:rFonts w:ascii="仿宋_GB2312" w:eastAsia="仿宋_GB2312" w:hint="eastAsia"/>
          <w:sz w:val="32"/>
          <w:szCs w:val="32"/>
        </w:rPr>
        <w:t>考量</w:t>
      </w:r>
      <w:proofErr w:type="gramEnd"/>
      <w:r>
        <w:rPr>
          <w:rFonts w:ascii="仿宋_GB2312" w:eastAsia="仿宋_GB2312" w:hint="eastAsia"/>
          <w:sz w:val="32"/>
          <w:szCs w:val="32"/>
        </w:rPr>
        <w:t>因素，22个招生省份中，14个省份新生高考平均成绩排位占全省总考生数的百分比有所提升，其中北京和山东在新高考改革文理不分科的情况下，生源百分比分别提高了0.7%和0.6%。11个省份新生高考成绩平均分位次提升较大，其中福建、北京、重庆进步幅度明显。10个省份所录取新生的高考最低分排位取得提升，4个省份保持稳定。特别是计算机图灵班、数学国际英才班等特色精英班的创办，吸引了一大批特优考生入读。全国各省高考前1000名考生大幅增多，浙江、江苏省在1000名以外还有一批达到“C7”大学的一本录取分数。</w:t>
      </w:r>
    </w:p>
    <w:p w14:paraId="5805A8AD" w14:textId="77777777" w:rsidR="004D51E8" w:rsidRDefault="004D51E8" w:rsidP="004D51E8">
      <w:pPr>
        <w:spacing w:line="580" w:lineRule="exact"/>
        <w:ind w:firstLineChars="200" w:firstLine="640"/>
        <w:rPr>
          <w:rFonts w:ascii="仿宋_GB2312" w:eastAsia="仿宋_GB2312"/>
          <w:sz w:val="32"/>
          <w:szCs w:val="32"/>
        </w:rPr>
      </w:pPr>
      <w:r>
        <w:rPr>
          <w:rFonts w:ascii="仿宋_GB2312" w:eastAsia="仿宋_GB2312" w:hint="eastAsia"/>
          <w:sz w:val="32"/>
          <w:szCs w:val="32"/>
        </w:rPr>
        <w:t>毕业生就业及升学质量不断提高。2020届本科毕业生909人，就业（含升学）率达98.13%，其中，32.23%的毕业生选择直接就业，其中90%服务于粤港澳大湾区，入职在行业一流企业</w:t>
      </w:r>
      <w:proofErr w:type="gramStart"/>
      <w:r>
        <w:rPr>
          <w:rFonts w:ascii="仿宋_GB2312" w:eastAsia="仿宋_GB2312" w:hint="eastAsia"/>
          <w:sz w:val="32"/>
          <w:szCs w:val="32"/>
        </w:rPr>
        <w:t>就业占</w:t>
      </w:r>
      <w:proofErr w:type="gramEnd"/>
      <w:r>
        <w:rPr>
          <w:rFonts w:ascii="仿宋_GB2312" w:eastAsia="仿宋_GB2312" w:hint="eastAsia"/>
          <w:sz w:val="32"/>
          <w:szCs w:val="32"/>
        </w:rPr>
        <w:t>63.49%，就业选择的前三个领域是信息技术、电子电气设备制造、金融，约三成入职世界、中国500强企业；65.9%的毕业生选择升学深造，出国（出境）留学人数为364人，占升学</w:t>
      </w:r>
      <w:proofErr w:type="gramStart"/>
      <w:r>
        <w:rPr>
          <w:rFonts w:ascii="仿宋_GB2312" w:eastAsia="仿宋_GB2312" w:hint="eastAsia"/>
          <w:sz w:val="32"/>
          <w:szCs w:val="32"/>
        </w:rPr>
        <w:t>深造总</w:t>
      </w:r>
      <w:proofErr w:type="gramEnd"/>
      <w:r>
        <w:rPr>
          <w:rFonts w:ascii="仿宋_GB2312" w:eastAsia="仿宋_GB2312" w:hint="eastAsia"/>
          <w:sz w:val="32"/>
          <w:szCs w:val="32"/>
        </w:rPr>
        <w:t>人数的60.77%，录取院校有芝加哥大学、宾夕法尼亚大学、耶鲁大学、哥伦比亚大学、密歇</w:t>
      </w:r>
      <w:r>
        <w:rPr>
          <w:rFonts w:ascii="仿宋_GB2312" w:eastAsia="仿宋_GB2312" w:hint="eastAsia"/>
          <w:sz w:val="32"/>
          <w:szCs w:val="32"/>
        </w:rPr>
        <w:lastRenderedPageBreak/>
        <w:t>根大学、约翰霍普金斯大学、剑桥大学、帝国理工学院、伦敦国王学院、伦敦大学学院、香港大学、香港科技大学、新加坡国立大学、南洋理工大学等；国内升学人数为235人，占升学</w:t>
      </w:r>
      <w:proofErr w:type="gramStart"/>
      <w:r>
        <w:rPr>
          <w:rFonts w:ascii="仿宋_GB2312" w:eastAsia="仿宋_GB2312" w:hint="eastAsia"/>
          <w:sz w:val="32"/>
          <w:szCs w:val="32"/>
        </w:rPr>
        <w:t>深造总</w:t>
      </w:r>
      <w:proofErr w:type="gramEnd"/>
      <w:r>
        <w:rPr>
          <w:rFonts w:ascii="仿宋_GB2312" w:eastAsia="仿宋_GB2312" w:hint="eastAsia"/>
          <w:sz w:val="32"/>
          <w:szCs w:val="32"/>
        </w:rPr>
        <w:t>人数的39.23%，绝大部分升学院校为“双一流”高校及南科大。</w:t>
      </w:r>
    </w:p>
    <w:p w14:paraId="6C24E876" w14:textId="77777777" w:rsidR="004D51E8" w:rsidRDefault="004D51E8" w:rsidP="004D51E8">
      <w:pPr>
        <w:spacing w:line="580" w:lineRule="exact"/>
        <w:ind w:firstLineChars="200" w:firstLine="640"/>
        <w:rPr>
          <w:rFonts w:ascii="仿宋_GB2312" w:eastAsia="仿宋_GB2312"/>
          <w:b/>
          <w:bCs/>
          <w:sz w:val="32"/>
          <w:szCs w:val="32"/>
        </w:rPr>
      </w:pPr>
      <w:r>
        <w:rPr>
          <w:rFonts w:ascii="仿宋_GB2312" w:eastAsia="仿宋_GB2312" w:hint="eastAsia"/>
          <w:sz w:val="32"/>
          <w:szCs w:val="32"/>
        </w:rPr>
        <w:t>学生综合竞争力获得认可。2020年，我校本科生娄晴、郑天棋、蓝桥等以第一作者身份发表SCI论文；我校学生在多个国际国内赛事上取得佳绩，具体见下表：</w:t>
      </w:r>
    </w:p>
    <w:tbl>
      <w:tblPr>
        <w:tblW w:w="8217" w:type="dxa"/>
        <w:tblInd w:w="113" w:type="dxa"/>
        <w:tblLook w:val="04A0" w:firstRow="1" w:lastRow="0" w:firstColumn="1" w:lastColumn="0" w:noHBand="0" w:noVBand="1"/>
      </w:tblPr>
      <w:tblGrid>
        <w:gridCol w:w="5524"/>
        <w:gridCol w:w="2693"/>
      </w:tblGrid>
      <w:tr w:rsidR="004D51E8" w14:paraId="3E004A88" w14:textId="77777777" w:rsidTr="004D51E8">
        <w:trPr>
          <w:trHeight w:val="465"/>
        </w:trPr>
        <w:tc>
          <w:tcPr>
            <w:tcW w:w="5524" w:type="dxa"/>
            <w:tcBorders>
              <w:top w:val="single" w:sz="4" w:space="0" w:color="auto"/>
              <w:left w:val="single" w:sz="4" w:space="0" w:color="auto"/>
              <w:bottom w:val="single" w:sz="4" w:space="0" w:color="auto"/>
              <w:right w:val="single" w:sz="4" w:space="0" w:color="auto"/>
            </w:tcBorders>
            <w:vAlign w:val="center"/>
            <w:hideMark/>
          </w:tcPr>
          <w:p w14:paraId="5EF6DB1F" w14:textId="77777777" w:rsidR="004D51E8" w:rsidRDefault="004D51E8">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奖项名称</w:t>
            </w:r>
          </w:p>
        </w:tc>
        <w:tc>
          <w:tcPr>
            <w:tcW w:w="2693" w:type="dxa"/>
            <w:tcBorders>
              <w:top w:val="single" w:sz="4" w:space="0" w:color="auto"/>
              <w:left w:val="nil"/>
              <w:bottom w:val="single" w:sz="4" w:space="0" w:color="auto"/>
              <w:right w:val="single" w:sz="4" w:space="0" w:color="auto"/>
            </w:tcBorders>
            <w:vAlign w:val="center"/>
            <w:hideMark/>
          </w:tcPr>
          <w:p w14:paraId="3F410F9A" w14:textId="77777777" w:rsidR="004D51E8" w:rsidRDefault="004D51E8">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获奖等级</w:t>
            </w:r>
          </w:p>
        </w:tc>
      </w:tr>
      <w:tr w:rsidR="004D51E8" w14:paraId="35EE1B4E" w14:textId="77777777" w:rsidTr="004D51E8">
        <w:trPr>
          <w:trHeight w:val="366"/>
        </w:trPr>
        <w:tc>
          <w:tcPr>
            <w:tcW w:w="5524" w:type="dxa"/>
            <w:tcBorders>
              <w:top w:val="nil"/>
              <w:left w:val="single" w:sz="4" w:space="0" w:color="auto"/>
              <w:bottom w:val="single" w:sz="4" w:space="0" w:color="auto"/>
              <w:right w:val="single" w:sz="4" w:space="0" w:color="auto"/>
            </w:tcBorders>
            <w:vAlign w:val="center"/>
            <w:hideMark/>
          </w:tcPr>
          <w:p w14:paraId="2C38171A"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第十九届全国大学生机器人大赛ROBOCON全国赛</w:t>
            </w:r>
          </w:p>
        </w:tc>
        <w:tc>
          <w:tcPr>
            <w:tcW w:w="2693" w:type="dxa"/>
            <w:tcBorders>
              <w:top w:val="nil"/>
              <w:left w:val="nil"/>
              <w:bottom w:val="single" w:sz="4" w:space="0" w:color="auto"/>
              <w:right w:val="single" w:sz="4" w:space="0" w:color="auto"/>
            </w:tcBorders>
            <w:vAlign w:val="center"/>
            <w:hideMark/>
          </w:tcPr>
          <w:p w14:paraId="7EDB1629"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二等奖</w:t>
            </w:r>
          </w:p>
        </w:tc>
      </w:tr>
      <w:tr w:rsidR="004D51E8" w14:paraId="202047E5" w14:textId="77777777" w:rsidTr="004D51E8">
        <w:trPr>
          <w:trHeight w:val="418"/>
        </w:trPr>
        <w:tc>
          <w:tcPr>
            <w:tcW w:w="5524" w:type="dxa"/>
            <w:tcBorders>
              <w:top w:val="nil"/>
              <w:left w:val="single" w:sz="4" w:space="0" w:color="auto"/>
              <w:bottom w:val="single" w:sz="4" w:space="0" w:color="auto"/>
              <w:right w:val="single" w:sz="4" w:space="0" w:color="auto"/>
            </w:tcBorders>
            <w:vAlign w:val="center"/>
            <w:hideMark/>
          </w:tcPr>
          <w:p w14:paraId="0A9A5548"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第二届国际大学生混凝土龙舟邀请赛</w:t>
            </w:r>
          </w:p>
        </w:tc>
        <w:tc>
          <w:tcPr>
            <w:tcW w:w="2693" w:type="dxa"/>
            <w:tcBorders>
              <w:top w:val="nil"/>
              <w:left w:val="nil"/>
              <w:bottom w:val="single" w:sz="4" w:space="0" w:color="auto"/>
              <w:right w:val="single" w:sz="4" w:space="0" w:color="auto"/>
            </w:tcBorders>
            <w:vAlign w:val="center"/>
            <w:hideMark/>
          </w:tcPr>
          <w:p w14:paraId="5DC66BBE"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三等奖、最佳外形设计奖</w:t>
            </w:r>
          </w:p>
        </w:tc>
      </w:tr>
      <w:tr w:rsidR="004D51E8" w14:paraId="5C8DF887" w14:textId="77777777" w:rsidTr="004D51E8">
        <w:trPr>
          <w:trHeight w:val="845"/>
        </w:trPr>
        <w:tc>
          <w:tcPr>
            <w:tcW w:w="5524" w:type="dxa"/>
            <w:tcBorders>
              <w:top w:val="nil"/>
              <w:left w:val="single" w:sz="4" w:space="0" w:color="auto"/>
              <w:bottom w:val="single" w:sz="4" w:space="0" w:color="auto"/>
              <w:right w:val="single" w:sz="4" w:space="0" w:color="auto"/>
            </w:tcBorders>
            <w:vAlign w:val="center"/>
            <w:hideMark/>
          </w:tcPr>
          <w:p w14:paraId="1172D6F0"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国际自主智能机器人大赛</w:t>
            </w:r>
          </w:p>
        </w:tc>
        <w:tc>
          <w:tcPr>
            <w:tcW w:w="2693" w:type="dxa"/>
            <w:tcBorders>
              <w:top w:val="nil"/>
              <w:left w:val="nil"/>
              <w:bottom w:val="single" w:sz="4" w:space="0" w:color="auto"/>
              <w:right w:val="single" w:sz="4" w:space="0" w:color="auto"/>
            </w:tcBorders>
            <w:vAlign w:val="center"/>
            <w:hideMark/>
          </w:tcPr>
          <w:p w14:paraId="7DAC783F"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w:t>
            </w:r>
            <w:proofErr w:type="gramStart"/>
            <w:r>
              <w:rPr>
                <w:rFonts w:ascii="仿宋_GB2312" w:eastAsia="仿宋_GB2312" w:hAnsi="宋体" w:cs="宋体" w:hint="eastAsia"/>
                <w:kern w:val="0"/>
                <w:sz w:val="24"/>
              </w:rPr>
              <w:t>自由赛全球</w:t>
            </w:r>
            <w:proofErr w:type="gramEnd"/>
            <w:r>
              <w:rPr>
                <w:rFonts w:ascii="仿宋_GB2312" w:eastAsia="仿宋_GB2312" w:hAnsi="宋体" w:cs="宋体" w:hint="eastAsia"/>
                <w:kern w:val="0"/>
                <w:sz w:val="24"/>
              </w:rPr>
              <w:t>）二等奖；（标准赛全球）三等奖、优秀奖</w:t>
            </w:r>
          </w:p>
        </w:tc>
      </w:tr>
      <w:tr w:rsidR="004D51E8" w14:paraId="31ADF805" w14:textId="77777777" w:rsidTr="004D51E8">
        <w:trPr>
          <w:trHeight w:val="842"/>
        </w:trPr>
        <w:tc>
          <w:tcPr>
            <w:tcW w:w="5524" w:type="dxa"/>
            <w:tcBorders>
              <w:top w:val="nil"/>
              <w:left w:val="single" w:sz="4" w:space="0" w:color="auto"/>
              <w:bottom w:val="single" w:sz="4" w:space="0" w:color="auto"/>
              <w:right w:val="single" w:sz="4" w:space="0" w:color="auto"/>
            </w:tcBorders>
            <w:vAlign w:val="center"/>
            <w:hideMark/>
          </w:tcPr>
          <w:p w14:paraId="4D8445C2"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第六届中国大学生程序设计竞赛暨2020中国大学生程序设计竞赛女生专场</w:t>
            </w:r>
          </w:p>
        </w:tc>
        <w:tc>
          <w:tcPr>
            <w:tcW w:w="2693" w:type="dxa"/>
            <w:tcBorders>
              <w:top w:val="nil"/>
              <w:left w:val="nil"/>
              <w:bottom w:val="single" w:sz="4" w:space="0" w:color="auto"/>
              <w:right w:val="single" w:sz="4" w:space="0" w:color="auto"/>
            </w:tcBorders>
            <w:vAlign w:val="center"/>
            <w:hideMark/>
          </w:tcPr>
          <w:p w14:paraId="667500D6"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学校排名全国第7（队伍排名全国第9）；银牌</w:t>
            </w:r>
          </w:p>
        </w:tc>
      </w:tr>
      <w:tr w:rsidR="004D51E8" w14:paraId="79EA3F3E" w14:textId="77777777" w:rsidTr="004D51E8">
        <w:trPr>
          <w:trHeight w:val="415"/>
        </w:trPr>
        <w:tc>
          <w:tcPr>
            <w:tcW w:w="5524" w:type="dxa"/>
            <w:tcBorders>
              <w:top w:val="nil"/>
              <w:left w:val="single" w:sz="4" w:space="0" w:color="auto"/>
              <w:bottom w:val="single" w:sz="4" w:space="0" w:color="auto"/>
              <w:right w:val="single" w:sz="4" w:space="0" w:color="auto"/>
            </w:tcBorders>
            <w:vAlign w:val="center"/>
            <w:hideMark/>
          </w:tcPr>
          <w:p w14:paraId="7A10AF54" w14:textId="77777777" w:rsidR="004D51E8" w:rsidRDefault="004D51E8">
            <w:pPr>
              <w:widowControl/>
              <w:jc w:val="center"/>
              <w:rPr>
                <w:rFonts w:ascii="仿宋_GB2312" w:eastAsia="仿宋_GB2312" w:hAnsi="宋体" w:cs="宋体"/>
                <w:kern w:val="0"/>
                <w:sz w:val="24"/>
              </w:rPr>
            </w:pPr>
            <w:proofErr w:type="spellStart"/>
            <w:r>
              <w:rPr>
                <w:rFonts w:ascii="仿宋_GB2312" w:eastAsia="仿宋_GB2312" w:hAnsi="宋体" w:cs="宋体" w:hint="eastAsia"/>
                <w:kern w:val="0"/>
                <w:sz w:val="24"/>
              </w:rPr>
              <w:t>RoboCom</w:t>
            </w:r>
            <w:proofErr w:type="spellEnd"/>
            <w:r>
              <w:rPr>
                <w:rFonts w:ascii="仿宋_GB2312" w:eastAsia="仿宋_GB2312" w:hAnsi="宋体" w:cs="宋体" w:hint="eastAsia"/>
                <w:kern w:val="0"/>
                <w:sz w:val="24"/>
              </w:rPr>
              <w:t>世界机器人开发者大赛（华南区）</w:t>
            </w:r>
          </w:p>
        </w:tc>
        <w:tc>
          <w:tcPr>
            <w:tcW w:w="2693" w:type="dxa"/>
            <w:tcBorders>
              <w:top w:val="nil"/>
              <w:left w:val="nil"/>
              <w:bottom w:val="single" w:sz="4" w:space="0" w:color="auto"/>
              <w:right w:val="single" w:sz="4" w:space="0" w:color="auto"/>
            </w:tcBorders>
            <w:vAlign w:val="center"/>
            <w:hideMark/>
          </w:tcPr>
          <w:p w14:paraId="6D232FB6"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一等奖（冠军）</w:t>
            </w:r>
          </w:p>
        </w:tc>
      </w:tr>
      <w:tr w:rsidR="004D51E8" w14:paraId="36AB4D67" w14:textId="77777777" w:rsidTr="004D51E8">
        <w:trPr>
          <w:trHeight w:val="407"/>
        </w:trPr>
        <w:tc>
          <w:tcPr>
            <w:tcW w:w="5524" w:type="dxa"/>
            <w:tcBorders>
              <w:top w:val="nil"/>
              <w:left w:val="single" w:sz="4" w:space="0" w:color="auto"/>
              <w:bottom w:val="single" w:sz="4" w:space="0" w:color="auto"/>
              <w:right w:val="single" w:sz="4" w:space="0" w:color="auto"/>
            </w:tcBorders>
            <w:vAlign w:val="center"/>
            <w:hideMark/>
          </w:tcPr>
          <w:p w14:paraId="2A891D8B"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第十三届国际水中机器人大赛</w:t>
            </w:r>
          </w:p>
        </w:tc>
        <w:tc>
          <w:tcPr>
            <w:tcW w:w="2693" w:type="dxa"/>
            <w:tcBorders>
              <w:top w:val="nil"/>
              <w:left w:val="nil"/>
              <w:bottom w:val="single" w:sz="4" w:space="0" w:color="auto"/>
              <w:right w:val="single" w:sz="4" w:space="0" w:color="auto"/>
            </w:tcBorders>
            <w:vAlign w:val="center"/>
            <w:hideMark/>
          </w:tcPr>
          <w:p w14:paraId="693F2640"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冠军、亚军；二等奖、三等奖</w:t>
            </w:r>
          </w:p>
        </w:tc>
      </w:tr>
      <w:tr w:rsidR="004D51E8" w14:paraId="3AB445C7" w14:textId="77777777" w:rsidTr="004D51E8">
        <w:trPr>
          <w:trHeight w:val="486"/>
        </w:trPr>
        <w:tc>
          <w:tcPr>
            <w:tcW w:w="5524" w:type="dxa"/>
            <w:tcBorders>
              <w:top w:val="nil"/>
              <w:left w:val="single" w:sz="4" w:space="0" w:color="auto"/>
              <w:bottom w:val="single" w:sz="4" w:space="0" w:color="auto"/>
              <w:right w:val="single" w:sz="4" w:space="0" w:color="auto"/>
            </w:tcBorders>
            <w:vAlign w:val="center"/>
            <w:hideMark/>
          </w:tcPr>
          <w:p w14:paraId="64C52E53"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第35届国际自动软件工程大会ACM学生研究竞赛</w:t>
            </w:r>
          </w:p>
        </w:tc>
        <w:tc>
          <w:tcPr>
            <w:tcW w:w="2693" w:type="dxa"/>
            <w:tcBorders>
              <w:top w:val="nil"/>
              <w:left w:val="nil"/>
              <w:bottom w:val="single" w:sz="4" w:space="0" w:color="auto"/>
              <w:right w:val="single" w:sz="4" w:space="0" w:color="auto"/>
            </w:tcBorders>
            <w:vAlign w:val="center"/>
            <w:hideMark/>
          </w:tcPr>
          <w:p w14:paraId="7B8F120C"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一等奖（第一名）</w:t>
            </w:r>
          </w:p>
        </w:tc>
      </w:tr>
      <w:tr w:rsidR="004D51E8" w14:paraId="0383A8E3" w14:textId="77777777" w:rsidTr="004D51E8">
        <w:trPr>
          <w:trHeight w:val="409"/>
        </w:trPr>
        <w:tc>
          <w:tcPr>
            <w:tcW w:w="5524" w:type="dxa"/>
            <w:tcBorders>
              <w:top w:val="nil"/>
              <w:left w:val="single" w:sz="4" w:space="0" w:color="auto"/>
              <w:bottom w:val="single" w:sz="4" w:space="0" w:color="auto"/>
              <w:right w:val="single" w:sz="4" w:space="0" w:color="auto"/>
            </w:tcBorders>
            <w:vAlign w:val="center"/>
            <w:hideMark/>
          </w:tcPr>
          <w:p w14:paraId="30E5C108"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第八届全国大学生光电设计竞赛</w:t>
            </w:r>
          </w:p>
        </w:tc>
        <w:tc>
          <w:tcPr>
            <w:tcW w:w="2693" w:type="dxa"/>
            <w:tcBorders>
              <w:top w:val="nil"/>
              <w:left w:val="nil"/>
              <w:bottom w:val="single" w:sz="4" w:space="0" w:color="auto"/>
              <w:right w:val="single" w:sz="4" w:space="0" w:color="auto"/>
            </w:tcBorders>
            <w:vAlign w:val="center"/>
            <w:hideMark/>
          </w:tcPr>
          <w:p w14:paraId="792B0C4C"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二等奖、三等奖</w:t>
            </w:r>
          </w:p>
        </w:tc>
      </w:tr>
      <w:tr w:rsidR="004D51E8" w14:paraId="2B190682" w14:textId="77777777" w:rsidTr="004D51E8">
        <w:trPr>
          <w:trHeight w:val="415"/>
        </w:trPr>
        <w:tc>
          <w:tcPr>
            <w:tcW w:w="5524" w:type="dxa"/>
            <w:tcBorders>
              <w:top w:val="nil"/>
              <w:left w:val="single" w:sz="4" w:space="0" w:color="auto"/>
              <w:bottom w:val="single" w:sz="4" w:space="0" w:color="auto"/>
              <w:right w:val="single" w:sz="4" w:space="0" w:color="auto"/>
            </w:tcBorders>
            <w:vAlign w:val="center"/>
            <w:hideMark/>
          </w:tcPr>
          <w:p w14:paraId="6CF2C7E1"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第十二届“挑战杯”广东大学生创业大赛</w:t>
            </w:r>
          </w:p>
        </w:tc>
        <w:tc>
          <w:tcPr>
            <w:tcW w:w="2693" w:type="dxa"/>
            <w:tcBorders>
              <w:top w:val="nil"/>
              <w:left w:val="nil"/>
              <w:bottom w:val="single" w:sz="4" w:space="0" w:color="auto"/>
              <w:right w:val="single" w:sz="4" w:space="0" w:color="auto"/>
            </w:tcBorders>
            <w:vAlign w:val="center"/>
            <w:hideMark/>
          </w:tcPr>
          <w:p w14:paraId="38EB0484"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多个一等奖（金奖）</w:t>
            </w:r>
          </w:p>
        </w:tc>
      </w:tr>
      <w:tr w:rsidR="004D51E8" w14:paraId="20325747" w14:textId="77777777" w:rsidTr="004D51E8">
        <w:trPr>
          <w:trHeight w:val="562"/>
        </w:trPr>
        <w:tc>
          <w:tcPr>
            <w:tcW w:w="5524" w:type="dxa"/>
            <w:tcBorders>
              <w:top w:val="nil"/>
              <w:left w:val="single" w:sz="4" w:space="0" w:color="auto"/>
              <w:bottom w:val="single" w:sz="4" w:space="0" w:color="auto"/>
              <w:right w:val="single" w:sz="4" w:space="0" w:color="auto"/>
            </w:tcBorders>
            <w:vAlign w:val="center"/>
            <w:hideMark/>
          </w:tcPr>
          <w:p w14:paraId="7A1B78CC"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第二届“华为云杯”2020深圳开放数据应用创新大赛（</w:t>
            </w:r>
            <w:proofErr w:type="spellStart"/>
            <w:r>
              <w:rPr>
                <w:rFonts w:ascii="仿宋_GB2312" w:eastAsia="仿宋_GB2312" w:hAnsi="宋体" w:cs="宋体" w:hint="eastAsia"/>
                <w:kern w:val="0"/>
                <w:sz w:val="24"/>
              </w:rPr>
              <w:t>SODiC</w:t>
            </w:r>
            <w:proofErr w:type="spellEnd"/>
            <w:r>
              <w:rPr>
                <w:rFonts w:ascii="仿宋_GB2312" w:eastAsia="仿宋_GB2312" w:hAnsi="宋体" w:cs="宋体" w:hint="eastAsia"/>
                <w:kern w:val="0"/>
                <w:sz w:val="24"/>
              </w:rPr>
              <w:t>）</w:t>
            </w:r>
          </w:p>
        </w:tc>
        <w:tc>
          <w:tcPr>
            <w:tcW w:w="2693" w:type="dxa"/>
            <w:tcBorders>
              <w:top w:val="nil"/>
              <w:left w:val="nil"/>
              <w:bottom w:val="single" w:sz="4" w:space="0" w:color="auto"/>
              <w:right w:val="single" w:sz="4" w:space="0" w:color="auto"/>
            </w:tcBorders>
            <w:vAlign w:val="center"/>
            <w:hideMark/>
          </w:tcPr>
          <w:p w14:paraId="0AF62692"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一等奖、三等奖</w:t>
            </w:r>
          </w:p>
        </w:tc>
      </w:tr>
      <w:tr w:rsidR="004D51E8" w14:paraId="483549C3" w14:textId="77777777" w:rsidTr="004D51E8">
        <w:trPr>
          <w:trHeight w:val="487"/>
        </w:trPr>
        <w:tc>
          <w:tcPr>
            <w:tcW w:w="5524" w:type="dxa"/>
            <w:tcBorders>
              <w:top w:val="nil"/>
              <w:left w:val="single" w:sz="4" w:space="0" w:color="auto"/>
              <w:bottom w:val="single" w:sz="4" w:space="0" w:color="auto"/>
              <w:right w:val="single" w:sz="4" w:space="0" w:color="auto"/>
            </w:tcBorders>
            <w:vAlign w:val="center"/>
            <w:hideMark/>
          </w:tcPr>
          <w:p w14:paraId="464B0706"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CFA全球投资分析大赛华南赛区</w:t>
            </w:r>
          </w:p>
        </w:tc>
        <w:tc>
          <w:tcPr>
            <w:tcW w:w="2693" w:type="dxa"/>
            <w:tcBorders>
              <w:top w:val="nil"/>
              <w:left w:val="nil"/>
              <w:bottom w:val="single" w:sz="4" w:space="0" w:color="auto"/>
              <w:right w:val="single" w:sz="4" w:space="0" w:color="auto"/>
            </w:tcBorders>
            <w:vAlign w:val="center"/>
            <w:hideMark/>
          </w:tcPr>
          <w:p w14:paraId="47594EEA"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一等奖（冠军）</w:t>
            </w:r>
          </w:p>
        </w:tc>
      </w:tr>
      <w:tr w:rsidR="004D51E8" w14:paraId="01354FF9" w14:textId="77777777" w:rsidTr="004D51E8">
        <w:trPr>
          <w:trHeight w:val="422"/>
        </w:trPr>
        <w:tc>
          <w:tcPr>
            <w:tcW w:w="5524" w:type="dxa"/>
            <w:tcBorders>
              <w:top w:val="nil"/>
              <w:left w:val="single" w:sz="4" w:space="0" w:color="auto"/>
              <w:bottom w:val="single" w:sz="4" w:space="0" w:color="auto"/>
              <w:right w:val="single" w:sz="4" w:space="0" w:color="auto"/>
            </w:tcBorders>
            <w:vAlign w:val="center"/>
            <w:hideMark/>
          </w:tcPr>
          <w:p w14:paraId="3F5BA71D"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外</w:t>
            </w:r>
            <w:proofErr w:type="gramStart"/>
            <w:r>
              <w:rPr>
                <w:rFonts w:ascii="仿宋_GB2312" w:eastAsia="仿宋_GB2312" w:hAnsi="宋体" w:cs="宋体" w:hint="eastAsia"/>
                <w:kern w:val="0"/>
                <w:sz w:val="24"/>
              </w:rPr>
              <w:t>研</w:t>
            </w:r>
            <w:proofErr w:type="gramEnd"/>
            <w:r>
              <w:rPr>
                <w:rFonts w:ascii="仿宋_GB2312" w:eastAsia="仿宋_GB2312" w:hAnsi="宋体" w:cs="宋体" w:hint="eastAsia"/>
                <w:kern w:val="0"/>
                <w:sz w:val="24"/>
              </w:rPr>
              <w:t>社英语辩论冬令营·深圳站暨第二届广东国际辩论赛</w:t>
            </w:r>
          </w:p>
        </w:tc>
        <w:tc>
          <w:tcPr>
            <w:tcW w:w="2693" w:type="dxa"/>
            <w:tcBorders>
              <w:top w:val="nil"/>
              <w:left w:val="nil"/>
              <w:bottom w:val="single" w:sz="4" w:space="0" w:color="auto"/>
              <w:right w:val="single" w:sz="4" w:space="0" w:color="auto"/>
            </w:tcBorders>
            <w:vAlign w:val="center"/>
            <w:hideMark/>
          </w:tcPr>
          <w:p w14:paraId="3A26E53E" w14:textId="77777777" w:rsidR="004D51E8" w:rsidRDefault="004D51E8">
            <w:pPr>
              <w:widowControl/>
              <w:jc w:val="center"/>
              <w:rPr>
                <w:rFonts w:ascii="仿宋_GB2312" w:eastAsia="仿宋_GB2312" w:hAnsi="宋体" w:cs="宋体"/>
                <w:kern w:val="0"/>
                <w:sz w:val="24"/>
              </w:rPr>
            </w:pPr>
            <w:r>
              <w:rPr>
                <w:rFonts w:ascii="仿宋_GB2312" w:eastAsia="仿宋_GB2312" w:hAnsi="宋体" w:cs="宋体" w:hint="eastAsia"/>
                <w:kern w:val="0"/>
                <w:sz w:val="24"/>
              </w:rPr>
              <w:t>一等奖、三等奖</w:t>
            </w:r>
          </w:p>
        </w:tc>
      </w:tr>
    </w:tbl>
    <w:p w14:paraId="7549ABC4" w14:textId="77777777" w:rsidR="004D51E8" w:rsidRDefault="004D51E8" w:rsidP="004D51E8">
      <w:pPr>
        <w:spacing w:line="580" w:lineRule="exact"/>
        <w:ind w:firstLineChars="200" w:firstLine="643"/>
        <w:rPr>
          <w:rFonts w:ascii="仿宋_GB2312" w:eastAsia="仿宋_GB2312"/>
          <w:b/>
          <w:bCs/>
          <w:sz w:val="32"/>
          <w:szCs w:val="32"/>
        </w:rPr>
      </w:pPr>
      <w:r>
        <w:rPr>
          <w:rFonts w:ascii="仿宋_GB2312" w:eastAsia="仿宋_GB2312" w:hint="eastAsia"/>
          <w:b/>
          <w:bCs/>
          <w:sz w:val="32"/>
          <w:szCs w:val="32"/>
        </w:rPr>
        <w:t>3.科学研究取得新的突破。</w:t>
      </w:r>
    </w:p>
    <w:p w14:paraId="264F73C5" w14:textId="77777777" w:rsidR="004D51E8" w:rsidRDefault="004D51E8" w:rsidP="004D51E8">
      <w:pPr>
        <w:spacing w:line="580" w:lineRule="exact"/>
        <w:ind w:firstLineChars="200" w:firstLine="640"/>
        <w:rPr>
          <w:rFonts w:ascii="仿宋_GB2312" w:eastAsia="仿宋_GB2312"/>
          <w:sz w:val="32"/>
          <w:szCs w:val="32"/>
        </w:rPr>
      </w:pPr>
      <w:r>
        <w:rPr>
          <w:rFonts w:ascii="仿宋_GB2312" w:eastAsia="仿宋_GB2312" w:hint="eastAsia"/>
          <w:sz w:val="32"/>
          <w:szCs w:val="32"/>
        </w:rPr>
        <w:t>科研成果方面，2020年我校教师共发表论文4247篇，其中SCI论文3207篇，分别较去年增加56%和51%。（数据</w:t>
      </w:r>
      <w:r>
        <w:rPr>
          <w:rFonts w:ascii="仿宋_GB2312" w:eastAsia="仿宋_GB2312" w:hint="eastAsia"/>
          <w:sz w:val="32"/>
          <w:szCs w:val="32"/>
        </w:rPr>
        <w:lastRenderedPageBreak/>
        <w:t>来源为图书馆知识苑系统）。中国大学自然指数（Nature Index）稳步上升，2020年南科大自然指数加权论文值为201，在中国大学自然指数排行榜中排名第14位。同时在2020年，我校化学、材料科学保持在ESI全球排名前1%，工程学、临床医学首入前1%。</w:t>
      </w:r>
    </w:p>
    <w:p w14:paraId="0EBCA509" w14:textId="77777777" w:rsidR="004D51E8" w:rsidRDefault="004D51E8" w:rsidP="004D51E8">
      <w:pPr>
        <w:spacing w:line="580" w:lineRule="exact"/>
        <w:ind w:firstLineChars="200" w:firstLine="640"/>
        <w:rPr>
          <w:rFonts w:ascii="仿宋_GB2312" w:eastAsia="仿宋_GB2312"/>
          <w:sz w:val="32"/>
          <w:szCs w:val="32"/>
        </w:rPr>
      </w:pPr>
      <w:r>
        <w:rPr>
          <w:rFonts w:ascii="仿宋_GB2312" w:eastAsia="仿宋_GB2312" w:hint="eastAsia"/>
          <w:sz w:val="32"/>
          <w:szCs w:val="32"/>
        </w:rPr>
        <w:t>科研奖项方面，我校2020年度获得各级各类科研奖励20余项，薛其坤院士获“复旦-中植科学奖”；姚新获2020年IEEE FRANK ROSENBLATT 奖，为史上首位获得该奖项的华人；杨天罡、曾振中获“求是杰出青年学者奖”，张</w:t>
      </w:r>
      <w:proofErr w:type="gramStart"/>
      <w:r>
        <w:rPr>
          <w:rFonts w:ascii="仿宋_GB2312" w:eastAsia="仿宋_GB2312" w:hint="eastAsia"/>
          <w:sz w:val="32"/>
          <w:szCs w:val="32"/>
        </w:rPr>
        <w:t>立源获</w:t>
      </w:r>
      <w:proofErr w:type="gramEnd"/>
      <w:r>
        <w:rPr>
          <w:rFonts w:ascii="仿宋_GB2312" w:eastAsia="仿宋_GB2312" w:hint="eastAsia"/>
          <w:sz w:val="32"/>
          <w:szCs w:val="32"/>
        </w:rPr>
        <w:t>2020年“科学探索奖”。我校获得7项深圳市科技奖，获奖数量在深圳市高校、科研机构中居第一位，创我校历史最好成绩。</w:t>
      </w:r>
    </w:p>
    <w:p w14:paraId="76FF4452" w14:textId="77777777" w:rsidR="004D51E8" w:rsidRDefault="004D51E8" w:rsidP="004D51E8">
      <w:pPr>
        <w:spacing w:line="580" w:lineRule="exact"/>
        <w:ind w:firstLineChars="200" w:firstLine="640"/>
        <w:rPr>
          <w:rFonts w:ascii="仿宋_GB2312" w:eastAsia="仿宋_GB2312"/>
          <w:sz w:val="32"/>
          <w:szCs w:val="32"/>
        </w:rPr>
      </w:pPr>
      <w:r>
        <w:rPr>
          <w:rFonts w:ascii="仿宋_GB2312" w:eastAsia="仿宋_GB2312" w:hint="eastAsia"/>
          <w:sz w:val="32"/>
          <w:szCs w:val="32"/>
        </w:rPr>
        <w:t>深圳市自然科学奖主要授予在基础研究和应用基础研究中做出重要科学发现的个人。</w:t>
      </w:r>
      <w:r>
        <w:rPr>
          <w:rFonts w:ascii="仿宋_GB2312" w:eastAsia="仿宋_GB2312" w:hint="eastAsia"/>
          <w:b/>
          <w:bCs/>
          <w:sz w:val="32"/>
          <w:szCs w:val="32"/>
        </w:rPr>
        <w:t>物理系教授卢海舟课题组</w:t>
      </w:r>
      <w:r>
        <w:rPr>
          <w:rFonts w:ascii="仿宋_GB2312" w:eastAsia="仿宋_GB2312" w:hint="eastAsia"/>
          <w:sz w:val="32"/>
          <w:szCs w:val="32"/>
        </w:rPr>
        <w:t>“拓扑物质的电子输运”项目获自然科学奖一等奖。其发展了拓扑物质全磁场电子输运的量子理论，预言了三维量子霍尔效应的费米</w:t>
      </w:r>
      <w:proofErr w:type="gramStart"/>
      <w:r>
        <w:rPr>
          <w:rFonts w:ascii="仿宋_GB2312" w:eastAsia="仿宋_GB2312" w:hint="eastAsia"/>
          <w:sz w:val="32"/>
          <w:szCs w:val="32"/>
        </w:rPr>
        <w:t>弧</w:t>
      </w:r>
      <w:proofErr w:type="gramEnd"/>
      <w:r>
        <w:rPr>
          <w:rFonts w:ascii="仿宋_GB2312" w:eastAsia="仿宋_GB2312" w:hint="eastAsia"/>
          <w:sz w:val="32"/>
          <w:szCs w:val="32"/>
        </w:rPr>
        <w:t>新机制，多项成果发表在《物理评论快报》等物理学国际顶级期刊。</w:t>
      </w:r>
      <w:r>
        <w:rPr>
          <w:rFonts w:ascii="仿宋_GB2312" w:eastAsia="仿宋_GB2312" w:hint="eastAsia"/>
          <w:b/>
          <w:bCs/>
          <w:sz w:val="32"/>
          <w:szCs w:val="32"/>
        </w:rPr>
        <w:t>化学系教授谭斌课题组</w:t>
      </w:r>
      <w:r>
        <w:rPr>
          <w:rFonts w:ascii="仿宋_GB2312" w:eastAsia="仿宋_GB2312" w:hint="eastAsia"/>
          <w:sz w:val="32"/>
          <w:szCs w:val="32"/>
        </w:rPr>
        <w:t>“基于有机催化的不对称轴手性化学”项目，</w:t>
      </w:r>
      <w:r>
        <w:rPr>
          <w:rFonts w:ascii="仿宋_GB2312" w:eastAsia="仿宋_GB2312" w:hint="eastAsia"/>
          <w:b/>
          <w:bCs/>
          <w:sz w:val="32"/>
          <w:szCs w:val="32"/>
        </w:rPr>
        <w:t>电子与电气工程系副教授陈树明课题组</w:t>
      </w:r>
      <w:r>
        <w:rPr>
          <w:rFonts w:ascii="仿宋_GB2312" w:eastAsia="仿宋_GB2312" w:hint="eastAsia"/>
          <w:sz w:val="32"/>
          <w:szCs w:val="32"/>
        </w:rPr>
        <w:t>“高效率长寿命量子点发光二极管的基础研究”项目、</w:t>
      </w:r>
      <w:r>
        <w:rPr>
          <w:rFonts w:ascii="仿宋_GB2312" w:eastAsia="仿宋_GB2312" w:hint="eastAsia"/>
          <w:b/>
          <w:bCs/>
          <w:sz w:val="32"/>
          <w:szCs w:val="32"/>
        </w:rPr>
        <w:t>副教授</w:t>
      </w:r>
      <w:proofErr w:type="gramStart"/>
      <w:r>
        <w:rPr>
          <w:rFonts w:ascii="仿宋_GB2312" w:eastAsia="仿宋_GB2312" w:hint="eastAsia"/>
          <w:b/>
          <w:bCs/>
          <w:sz w:val="32"/>
          <w:szCs w:val="32"/>
        </w:rPr>
        <w:t>蹇</w:t>
      </w:r>
      <w:proofErr w:type="gramEnd"/>
      <w:r>
        <w:rPr>
          <w:rFonts w:ascii="仿宋_GB2312" w:eastAsia="仿宋_GB2312" w:hint="eastAsia"/>
          <w:b/>
          <w:bCs/>
          <w:sz w:val="32"/>
          <w:szCs w:val="32"/>
        </w:rPr>
        <w:t>林旎课题组</w:t>
      </w:r>
      <w:r>
        <w:rPr>
          <w:rFonts w:ascii="仿宋_GB2312" w:eastAsia="仿宋_GB2312" w:hint="eastAsia"/>
          <w:sz w:val="32"/>
          <w:szCs w:val="32"/>
        </w:rPr>
        <w:t>“新型高密度磁场调制型永磁机构的理论研究及应用”项目和</w:t>
      </w:r>
      <w:r>
        <w:rPr>
          <w:rFonts w:ascii="仿宋_GB2312" w:eastAsia="仿宋_GB2312" w:hint="eastAsia"/>
          <w:b/>
          <w:bCs/>
          <w:sz w:val="32"/>
          <w:szCs w:val="32"/>
        </w:rPr>
        <w:t>材料科学与工程系教授梁永晔课题组</w:t>
      </w:r>
      <w:r>
        <w:rPr>
          <w:rFonts w:ascii="仿宋_GB2312" w:eastAsia="仿宋_GB2312" w:hint="eastAsia"/>
          <w:sz w:val="32"/>
          <w:szCs w:val="32"/>
        </w:rPr>
        <w:t>“共轭分子材料的功能化及应用”项目获自然科学奖二等奖。</w:t>
      </w:r>
    </w:p>
    <w:p w14:paraId="48D86403" w14:textId="49665CB4" w:rsidR="004D51E8" w:rsidRDefault="004D51E8" w:rsidP="004D51E8">
      <w:pPr>
        <w:spacing w:line="580" w:lineRule="exact"/>
        <w:ind w:firstLineChars="200" w:firstLine="640"/>
        <w:rPr>
          <w:rFonts w:ascii="仿宋_GB2312" w:eastAsia="仿宋_GB2312"/>
          <w:sz w:val="32"/>
          <w:szCs w:val="32"/>
        </w:rPr>
      </w:pPr>
      <w:r>
        <w:rPr>
          <w:rFonts w:ascii="仿宋_GB2312" w:eastAsia="仿宋_GB2312" w:hint="eastAsia"/>
          <w:sz w:val="32"/>
          <w:szCs w:val="32"/>
        </w:rPr>
        <w:t>深圳市科技进步奖主要授予在应用推广先进科学技术</w:t>
      </w:r>
      <w:r>
        <w:rPr>
          <w:rFonts w:ascii="仿宋_GB2312" w:eastAsia="仿宋_GB2312" w:hint="eastAsia"/>
          <w:sz w:val="32"/>
          <w:szCs w:val="32"/>
        </w:rPr>
        <w:lastRenderedPageBreak/>
        <w:t>成果，完成重大科学技术工程、计划、项目等方面做出突出贡献的组织或者个人。</w:t>
      </w:r>
      <w:r>
        <w:rPr>
          <w:rFonts w:ascii="仿宋_GB2312" w:eastAsia="仿宋_GB2312" w:hint="eastAsia"/>
          <w:b/>
          <w:bCs/>
          <w:sz w:val="32"/>
          <w:szCs w:val="32"/>
        </w:rPr>
        <w:t>环境科学与工程学院讲席教授刘俊国课题组</w:t>
      </w:r>
      <w:r>
        <w:rPr>
          <w:rFonts w:ascii="仿宋_GB2312" w:eastAsia="仿宋_GB2312" w:hint="eastAsia"/>
          <w:sz w:val="32"/>
          <w:szCs w:val="32"/>
        </w:rPr>
        <w:t>“城市河流生态修复的关键技术和应用” 项目获市科技进步奖一等奖。该成果完成了茅洲河支流及国内多条河流生态修复技术研发及其应用。核心著作《生态修复学导论》是国际恢复生态学学会2019年发布的生态修复标准的“奠基性文件”。</w:t>
      </w:r>
      <w:r>
        <w:rPr>
          <w:rFonts w:ascii="仿宋_GB2312" w:eastAsia="仿宋_GB2312" w:hint="eastAsia"/>
          <w:b/>
          <w:bCs/>
          <w:sz w:val="32"/>
          <w:szCs w:val="32"/>
        </w:rPr>
        <w:t>材料科学与工程系副教授孙大</w:t>
      </w:r>
      <w:proofErr w:type="gramStart"/>
      <w:r>
        <w:rPr>
          <w:rFonts w:ascii="仿宋_GB2312" w:eastAsia="仿宋_GB2312" w:hint="eastAsia"/>
          <w:b/>
          <w:bCs/>
          <w:sz w:val="32"/>
          <w:szCs w:val="32"/>
        </w:rPr>
        <w:t>陟</w:t>
      </w:r>
      <w:proofErr w:type="gramEnd"/>
      <w:r>
        <w:rPr>
          <w:rFonts w:ascii="仿宋_GB2312" w:eastAsia="仿宋_GB2312" w:hint="eastAsia"/>
          <w:b/>
          <w:bCs/>
          <w:sz w:val="32"/>
          <w:szCs w:val="32"/>
        </w:rPr>
        <w:t>课题组</w:t>
      </w:r>
      <w:r>
        <w:rPr>
          <w:rFonts w:ascii="仿宋_GB2312" w:eastAsia="仿宋_GB2312" w:hint="eastAsia"/>
          <w:sz w:val="32"/>
          <w:szCs w:val="32"/>
        </w:rPr>
        <w:t>“基于纳米分散技术的高效防雾消毒抑菌产品研发于应用”项目获市科技进步奖二等奖。</w:t>
      </w:r>
    </w:p>
    <w:p w14:paraId="308193E5" w14:textId="77777777" w:rsidR="004D51E8" w:rsidRDefault="004D51E8" w:rsidP="004D51E8">
      <w:pPr>
        <w:spacing w:line="580" w:lineRule="exact"/>
        <w:ind w:firstLineChars="200" w:firstLine="640"/>
        <w:rPr>
          <w:rFonts w:ascii="仿宋_GB2312" w:eastAsia="仿宋_GB2312"/>
          <w:sz w:val="32"/>
          <w:szCs w:val="32"/>
        </w:rPr>
      </w:pPr>
      <w:r>
        <w:rPr>
          <w:rFonts w:ascii="仿宋_GB2312" w:eastAsia="仿宋_GB2312" w:hint="eastAsia"/>
          <w:sz w:val="32"/>
          <w:szCs w:val="32"/>
        </w:rPr>
        <w:t>我校24名学者入选2020</w:t>
      </w:r>
      <w:proofErr w:type="gramStart"/>
      <w:r>
        <w:rPr>
          <w:rFonts w:ascii="仿宋_GB2312" w:eastAsia="仿宋_GB2312" w:hint="eastAsia"/>
          <w:sz w:val="32"/>
          <w:szCs w:val="32"/>
        </w:rPr>
        <w:t>爱思唯尔</w:t>
      </w:r>
      <w:proofErr w:type="gramEnd"/>
      <w:r>
        <w:rPr>
          <w:rFonts w:ascii="仿宋_GB2312" w:eastAsia="仿宋_GB2312" w:hint="eastAsia"/>
          <w:sz w:val="32"/>
          <w:szCs w:val="32"/>
        </w:rPr>
        <w:t>中国高被引学者榜单，名单详见下表：</w:t>
      </w:r>
    </w:p>
    <w:tbl>
      <w:tblPr>
        <w:tblStyle w:val="a8"/>
        <w:tblW w:w="0" w:type="auto"/>
        <w:tblInd w:w="0" w:type="dxa"/>
        <w:tblLook w:val="04A0" w:firstRow="1" w:lastRow="0" w:firstColumn="1" w:lastColumn="0" w:noHBand="0" w:noVBand="1"/>
      </w:tblPr>
      <w:tblGrid>
        <w:gridCol w:w="1638"/>
        <w:gridCol w:w="3329"/>
        <w:gridCol w:w="3329"/>
      </w:tblGrid>
      <w:tr w:rsidR="004D51E8" w:rsidRPr="004D51E8" w14:paraId="4558F0AB"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761372A2" w14:textId="77777777" w:rsidR="004D51E8" w:rsidRPr="004D51E8" w:rsidRDefault="004D51E8">
            <w:pPr>
              <w:spacing w:line="580" w:lineRule="exact"/>
              <w:jc w:val="center"/>
              <w:rPr>
                <w:rFonts w:ascii="仿宋_GB2312" w:eastAsia="仿宋_GB2312"/>
                <w:b/>
                <w:bCs/>
                <w:sz w:val="24"/>
              </w:rPr>
            </w:pPr>
            <w:r w:rsidRPr="004D51E8">
              <w:rPr>
                <w:rFonts w:ascii="仿宋_GB2312" w:eastAsia="仿宋_GB2312" w:hint="eastAsia"/>
                <w:b/>
                <w:bCs/>
                <w:sz w:val="24"/>
              </w:rPr>
              <w:t>序号</w:t>
            </w:r>
          </w:p>
        </w:tc>
        <w:tc>
          <w:tcPr>
            <w:tcW w:w="3402" w:type="dxa"/>
            <w:tcBorders>
              <w:top w:val="single" w:sz="4" w:space="0" w:color="auto"/>
              <w:left w:val="single" w:sz="4" w:space="0" w:color="auto"/>
              <w:bottom w:val="single" w:sz="4" w:space="0" w:color="auto"/>
              <w:right w:val="single" w:sz="4" w:space="0" w:color="auto"/>
            </w:tcBorders>
            <w:hideMark/>
          </w:tcPr>
          <w:p w14:paraId="6321A4C4" w14:textId="77777777" w:rsidR="004D51E8" w:rsidRPr="004D51E8" w:rsidRDefault="004D51E8">
            <w:pPr>
              <w:spacing w:line="580" w:lineRule="exact"/>
              <w:jc w:val="center"/>
              <w:rPr>
                <w:rFonts w:ascii="仿宋_GB2312" w:eastAsia="仿宋_GB2312"/>
                <w:b/>
                <w:bCs/>
                <w:sz w:val="24"/>
              </w:rPr>
            </w:pPr>
            <w:r w:rsidRPr="004D51E8">
              <w:rPr>
                <w:rFonts w:ascii="仿宋_GB2312" w:eastAsia="仿宋_GB2312" w:hint="eastAsia"/>
                <w:b/>
                <w:bCs/>
                <w:sz w:val="24"/>
              </w:rPr>
              <w:t>学者中文名称</w:t>
            </w:r>
          </w:p>
        </w:tc>
        <w:tc>
          <w:tcPr>
            <w:tcW w:w="3402" w:type="dxa"/>
            <w:tcBorders>
              <w:top w:val="single" w:sz="4" w:space="0" w:color="auto"/>
              <w:left w:val="single" w:sz="4" w:space="0" w:color="auto"/>
              <w:bottom w:val="single" w:sz="4" w:space="0" w:color="auto"/>
              <w:right w:val="single" w:sz="4" w:space="0" w:color="auto"/>
            </w:tcBorders>
            <w:hideMark/>
          </w:tcPr>
          <w:p w14:paraId="1CBACD0B" w14:textId="77777777" w:rsidR="004D51E8" w:rsidRPr="004D51E8" w:rsidRDefault="004D51E8">
            <w:pPr>
              <w:spacing w:line="580" w:lineRule="exact"/>
              <w:jc w:val="center"/>
              <w:rPr>
                <w:rFonts w:ascii="仿宋_GB2312" w:eastAsia="仿宋_GB2312"/>
                <w:b/>
                <w:bCs/>
                <w:sz w:val="24"/>
              </w:rPr>
            </w:pPr>
            <w:r w:rsidRPr="004D51E8">
              <w:rPr>
                <w:rFonts w:ascii="仿宋_GB2312" w:eastAsia="仿宋_GB2312" w:hint="eastAsia"/>
                <w:b/>
                <w:bCs/>
                <w:sz w:val="24"/>
              </w:rPr>
              <w:t>当选学科名称</w:t>
            </w:r>
          </w:p>
        </w:tc>
      </w:tr>
      <w:tr w:rsidR="004D51E8" w:rsidRPr="004D51E8" w14:paraId="4D59E9D3"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0015A984"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1</w:t>
            </w:r>
          </w:p>
        </w:tc>
        <w:tc>
          <w:tcPr>
            <w:tcW w:w="3402" w:type="dxa"/>
            <w:tcBorders>
              <w:top w:val="single" w:sz="4" w:space="0" w:color="auto"/>
              <w:left w:val="single" w:sz="4" w:space="0" w:color="auto"/>
              <w:bottom w:val="single" w:sz="4" w:space="0" w:color="auto"/>
              <w:right w:val="single" w:sz="4" w:space="0" w:color="auto"/>
            </w:tcBorders>
            <w:hideMark/>
          </w:tcPr>
          <w:p w14:paraId="5A14D4D0"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何炳生</w:t>
            </w:r>
          </w:p>
        </w:tc>
        <w:tc>
          <w:tcPr>
            <w:tcW w:w="3402" w:type="dxa"/>
            <w:tcBorders>
              <w:top w:val="single" w:sz="4" w:space="0" w:color="auto"/>
              <w:left w:val="single" w:sz="4" w:space="0" w:color="auto"/>
              <w:bottom w:val="single" w:sz="4" w:space="0" w:color="auto"/>
              <w:right w:val="single" w:sz="4" w:space="0" w:color="auto"/>
            </w:tcBorders>
            <w:hideMark/>
          </w:tcPr>
          <w:p w14:paraId="6C3521AD"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数学</w:t>
            </w:r>
          </w:p>
        </w:tc>
      </w:tr>
      <w:tr w:rsidR="004D51E8" w:rsidRPr="004D51E8" w14:paraId="60251834"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0D6C26C9"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2</w:t>
            </w:r>
          </w:p>
        </w:tc>
        <w:tc>
          <w:tcPr>
            <w:tcW w:w="3402" w:type="dxa"/>
            <w:tcBorders>
              <w:top w:val="single" w:sz="4" w:space="0" w:color="auto"/>
              <w:left w:val="single" w:sz="4" w:space="0" w:color="auto"/>
              <w:bottom w:val="single" w:sz="4" w:space="0" w:color="auto"/>
              <w:right w:val="single" w:sz="4" w:space="0" w:color="auto"/>
            </w:tcBorders>
            <w:hideMark/>
          </w:tcPr>
          <w:p w14:paraId="0918AC6A"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唐珂</w:t>
            </w:r>
          </w:p>
        </w:tc>
        <w:tc>
          <w:tcPr>
            <w:tcW w:w="3402" w:type="dxa"/>
            <w:tcBorders>
              <w:top w:val="single" w:sz="4" w:space="0" w:color="auto"/>
              <w:left w:val="single" w:sz="4" w:space="0" w:color="auto"/>
              <w:bottom w:val="single" w:sz="4" w:space="0" w:color="auto"/>
              <w:right w:val="single" w:sz="4" w:space="0" w:color="auto"/>
            </w:tcBorders>
            <w:hideMark/>
          </w:tcPr>
          <w:p w14:paraId="129B0540"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数学</w:t>
            </w:r>
          </w:p>
        </w:tc>
      </w:tr>
      <w:tr w:rsidR="004D51E8" w:rsidRPr="004D51E8" w14:paraId="19803D36"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0A1E6653"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3</w:t>
            </w:r>
          </w:p>
        </w:tc>
        <w:tc>
          <w:tcPr>
            <w:tcW w:w="3402" w:type="dxa"/>
            <w:tcBorders>
              <w:top w:val="single" w:sz="4" w:space="0" w:color="auto"/>
              <w:left w:val="single" w:sz="4" w:space="0" w:color="auto"/>
              <w:bottom w:val="single" w:sz="4" w:space="0" w:color="auto"/>
              <w:right w:val="single" w:sz="4" w:space="0" w:color="auto"/>
            </w:tcBorders>
            <w:hideMark/>
          </w:tcPr>
          <w:p w14:paraId="4B48330D"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俞大鹏</w:t>
            </w:r>
          </w:p>
        </w:tc>
        <w:tc>
          <w:tcPr>
            <w:tcW w:w="3402" w:type="dxa"/>
            <w:tcBorders>
              <w:top w:val="single" w:sz="4" w:space="0" w:color="auto"/>
              <w:left w:val="single" w:sz="4" w:space="0" w:color="auto"/>
              <w:bottom w:val="single" w:sz="4" w:space="0" w:color="auto"/>
              <w:right w:val="single" w:sz="4" w:space="0" w:color="auto"/>
            </w:tcBorders>
            <w:hideMark/>
          </w:tcPr>
          <w:p w14:paraId="2BDB5CB4"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物理学</w:t>
            </w:r>
          </w:p>
        </w:tc>
      </w:tr>
      <w:tr w:rsidR="004D51E8" w:rsidRPr="004D51E8" w14:paraId="6561F3E7"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67B8EF98"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4</w:t>
            </w:r>
          </w:p>
        </w:tc>
        <w:tc>
          <w:tcPr>
            <w:tcW w:w="3402" w:type="dxa"/>
            <w:tcBorders>
              <w:top w:val="single" w:sz="4" w:space="0" w:color="auto"/>
              <w:left w:val="single" w:sz="4" w:space="0" w:color="auto"/>
              <w:bottom w:val="single" w:sz="4" w:space="0" w:color="auto"/>
              <w:right w:val="single" w:sz="4" w:space="0" w:color="auto"/>
            </w:tcBorders>
            <w:hideMark/>
          </w:tcPr>
          <w:p w14:paraId="3CCC9627"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李淼</w:t>
            </w:r>
          </w:p>
        </w:tc>
        <w:tc>
          <w:tcPr>
            <w:tcW w:w="3402" w:type="dxa"/>
            <w:tcBorders>
              <w:top w:val="single" w:sz="4" w:space="0" w:color="auto"/>
              <w:left w:val="single" w:sz="4" w:space="0" w:color="auto"/>
              <w:bottom w:val="single" w:sz="4" w:space="0" w:color="auto"/>
              <w:right w:val="single" w:sz="4" w:space="0" w:color="auto"/>
            </w:tcBorders>
            <w:hideMark/>
          </w:tcPr>
          <w:p w14:paraId="0FA91A48"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物理学</w:t>
            </w:r>
          </w:p>
        </w:tc>
      </w:tr>
      <w:tr w:rsidR="004D51E8" w:rsidRPr="004D51E8" w14:paraId="3BC8D3BB"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79D6C426"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5</w:t>
            </w:r>
          </w:p>
        </w:tc>
        <w:tc>
          <w:tcPr>
            <w:tcW w:w="3402" w:type="dxa"/>
            <w:tcBorders>
              <w:top w:val="single" w:sz="4" w:space="0" w:color="auto"/>
              <w:left w:val="single" w:sz="4" w:space="0" w:color="auto"/>
              <w:bottom w:val="single" w:sz="4" w:space="0" w:color="auto"/>
              <w:right w:val="single" w:sz="4" w:space="0" w:color="auto"/>
            </w:tcBorders>
            <w:hideMark/>
          </w:tcPr>
          <w:p w14:paraId="3F2FE0D6"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何佳清</w:t>
            </w:r>
          </w:p>
        </w:tc>
        <w:tc>
          <w:tcPr>
            <w:tcW w:w="3402" w:type="dxa"/>
            <w:tcBorders>
              <w:top w:val="single" w:sz="4" w:space="0" w:color="auto"/>
              <w:left w:val="single" w:sz="4" w:space="0" w:color="auto"/>
              <w:bottom w:val="single" w:sz="4" w:space="0" w:color="auto"/>
              <w:right w:val="single" w:sz="4" w:space="0" w:color="auto"/>
            </w:tcBorders>
            <w:hideMark/>
          </w:tcPr>
          <w:p w14:paraId="2AD15579"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物理学</w:t>
            </w:r>
          </w:p>
        </w:tc>
      </w:tr>
      <w:tr w:rsidR="004D51E8" w:rsidRPr="004D51E8" w14:paraId="3DA0D999"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226F7F6F"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6</w:t>
            </w:r>
          </w:p>
        </w:tc>
        <w:tc>
          <w:tcPr>
            <w:tcW w:w="3402" w:type="dxa"/>
            <w:tcBorders>
              <w:top w:val="single" w:sz="4" w:space="0" w:color="auto"/>
              <w:left w:val="single" w:sz="4" w:space="0" w:color="auto"/>
              <w:bottom w:val="single" w:sz="4" w:space="0" w:color="auto"/>
              <w:right w:val="single" w:sz="4" w:space="0" w:color="auto"/>
            </w:tcBorders>
            <w:hideMark/>
          </w:tcPr>
          <w:p w14:paraId="2A787847"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薛其坤</w:t>
            </w:r>
          </w:p>
        </w:tc>
        <w:tc>
          <w:tcPr>
            <w:tcW w:w="3402" w:type="dxa"/>
            <w:tcBorders>
              <w:top w:val="single" w:sz="4" w:space="0" w:color="auto"/>
              <w:left w:val="single" w:sz="4" w:space="0" w:color="auto"/>
              <w:bottom w:val="single" w:sz="4" w:space="0" w:color="auto"/>
              <w:right w:val="single" w:sz="4" w:space="0" w:color="auto"/>
            </w:tcBorders>
            <w:hideMark/>
          </w:tcPr>
          <w:p w14:paraId="6AAB030C"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物理学</w:t>
            </w:r>
          </w:p>
        </w:tc>
      </w:tr>
      <w:tr w:rsidR="004D51E8" w:rsidRPr="004D51E8" w14:paraId="74AD232E"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5EC88E2F"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7</w:t>
            </w:r>
          </w:p>
        </w:tc>
        <w:tc>
          <w:tcPr>
            <w:tcW w:w="3402" w:type="dxa"/>
            <w:tcBorders>
              <w:top w:val="single" w:sz="4" w:space="0" w:color="auto"/>
              <w:left w:val="single" w:sz="4" w:space="0" w:color="auto"/>
              <w:bottom w:val="single" w:sz="4" w:space="0" w:color="auto"/>
              <w:right w:val="single" w:sz="4" w:space="0" w:color="auto"/>
            </w:tcBorders>
            <w:hideMark/>
          </w:tcPr>
          <w:p w14:paraId="4F03857A"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梁永晔</w:t>
            </w:r>
          </w:p>
        </w:tc>
        <w:tc>
          <w:tcPr>
            <w:tcW w:w="3402" w:type="dxa"/>
            <w:tcBorders>
              <w:top w:val="single" w:sz="4" w:space="0" w:color="auto"/>
              <w:left w:val="single" w:sz="4" w:space="0" w:color="auto"/>
              <w:bottom w:val="single" w:sz="4" w:space="0" w:color="auto"/>
              <w:right w:val="single" w:sz="4" w:space="0" w:color="auto"/>
            </w:tcBorders>
            <w:hideMark/>
          </w:tcPr>
          <w:p w14:paraId="55248272"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化学</w:t>
            </w:r>
          </w:p>
        </w:tc>
      </w:tr>
      <w:tr w:rsidR="004D51E8" w:rsidRPr="004D51E8" w14:paraId="434E68C4"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312B9EC3"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8</w:t>
            </w:r>
          </w:p>
        </w:tc>
        <w:tc>
          <w:tcPr>
            <w:tcW w:w="3402" w:type="dxa"/>
            <w:tcBorders>
              <w:top w:val="single" w:sz="4" w:space="0" w:color="auto"/>
              <w:left w:val="single" w:sz="4" w:space="0" w:color="auto"/>
              <w:bottom w:val="single" w:sz="4" w:space="0" w:color="auto"/>
              <w:right w:val="single" w:sz="4" w:space="0" w:color="auto"/>
            </w:tcBorders>
            <w:hideMark/>
          </w:tcPr>
          <w:p w14:paraId="71766CD6"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张绪穆</w:t>
            </w:r>
          </w:p>
        </w:tc>
        <w:tc>
          <w:tcPr>
            <w:tcW w:w="3402" w:type="dxa"/>
            <w:tcBorders>
              <w:top w:val="single" w:sz="4" w:space="0" w:color="auto"/>
              <w:left w:val="single" w:sz="4" w:space="0" w:color="auto"/>
              <w:bottom w:val="single" w:sz="4" w:space="0" w:color="auto"/>
              <w:right w:val="single" w:sz="4" w:space="0" w:color="auto"/>
            </w:tcBorders>
            <w:hideMark/>
          </w:tcPr>
          <w:p w14:paraId="673A5150"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化学</w:t>
            </w:r>
          </w:p>
        </w:tc>
      </w:tr>
      <w:tr w:rsidR="004D51E8" w:rsidRPr="004D51E8" w14:paraId="660998D5"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321606F6"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9</w:t>
            </w:r>
          </w:p>
        </w:tc>
        <w:tc>
          <w:tcPr>
            <w:tcW w:w="3402" w:type="dxa"/>
            <w:tcBorders>
              <w:top w:val="single" w:sz="4" w:space="0" w:color="auto"/>
              <w:left w:val="single" w:sz="4" w:space="0" w:color="auto"/>
              <w:bottom w:val="single" w:sz="4" w:space="0" w:color="auto"/>
              <w:right w:val="single" w:sz="4" w:space="0" w:color="auto"/>
            </w:tcBorders>
            <w:hideMark/>
          </w:tcPr>
          <w:p w14:paraId="1215EA74"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唐勇</w:t>
            </w:r>
          </w:p>
        </w:tc>
        <w:tc>
          <w:tcPr>
            <w:tcW w:w="3402" w:type="dxa"/>
            <w:tcBorders>
              <w:top w:val="single" w:sz="4" w:space="0" w:color="auto"/>
              <w:left w:val="single" w:sz="4" w:space="0" w:color="auto"/>
              <w:bottom w:val="single" w:sz="4" w:space="0" w:color="auto"/>
              <w:right w:val="single" w:sz="4" w:space="0" w:color="auto"/>
            </w:tcBorders>
            <w:hideMark/>
          </w:tcPr>
          <w:p w14:paraId="6DD02ADF"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化学</w:t>
            </w:r>
          </w:p>
        </w:tc>
      </w:tr>
      <w:tr w:rsidR="004D51E8" w:rsidRPr="004D51E8" w14:paraId="35B35570"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19390BE8"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10</w:t>
            </w:r>
          </w:p>
        </w:tc>
        <w:tc>
          <w:tcPr>
            <w:tcW w:w="3402" w:type="dxa"/>
            <w:tcBorders>
              <w:top w:val="single" w:sz="4" w:space="0" w:color="auto"/>
              <w:left w:val="single" w:sz="4" w:space="0" w:color="auto"/>
              <w:bottom w:val="single" w:sz="4" w:space="0" w:color="auto"/>
              <w:right w:val="single" w:sz="4" w:space="0" w:color="auto"/>
            </w:tcBorders>
            <w:hideMark/>
          </w:tcPr>
          <w:p w14:paraId="3C8A85AB"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李隽</w:t>
            </w:r>
          </w:p>
        </w:tc>
        <w:tc>
          <w:tcPr>
            <w:tcW w:w="3402" w:type="dxa"/>
            <w:tcBorders>
              <w:top w:val="single" w:sz="4" w:space="0" w:color="auto"/>
              <w:left w:val="single" w:sz="4" w:space="0" w:color="auto"/>
              <w:bottom w:val="single" w:sz="4" w:space="0" w:color="auto"/>
              <w:right w:val="single" w:sz="4" w:space="0" w:color="auto"/>
            </w:tcBorders>
            <w:hideMark/>
          </w:tcPr>
          <w:p w14:paraId="2936C86A"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化学</w:t>
            </w:r>
          </w:p>
        </w:tc>
      </w:tr>
      <w:tr w:rsidR="004D51E8" w:rsidRPr="004D51E8" w14:paraId="0DC19FEE"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3BE175BE"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11</w:t>
            </w:r>
          </w:p>
        </w:tc>
        <w:tc>
          <w:tcPr>
            <w:tcW w:w="3402" w:type="dxa"/>
            <w:tcBorders>
              <w:top w:val="single" w:sz="4" w:space="0" w:color="auto"/>
              <w:left w:val="single" w:sz="4" w:space="0" w:color="auto"/>
              <w:bottom w:val="single" w:sz="4" w:space="0" w:color="auto"/>
              <w:right w:val="single" w:sz="4" w:space="0" w:color="auto"/>
            </w:tcBorders>
            <w:hideMark/>
          </w:tcPr>
          <w:p w14:paraId="536EBB83"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吴长锋</w:t>
            </w:r>
          </w:p>
        </w:tc>
        <w:tc>
          <w:tcPr>
            <w:tcW w:w="3402" w:type="dxa"/>
            <w:tcBorders>
              <w:top w:val="single" w:sz="4" w:space="0" w:color="auto"/>
              <w:left w:val="single" w:sz="4" w:space="0" w:color="auto"/>
              <w:bottom w:val="single" w:sz="4" w:space="0" w:color="auto"/>
              <w:right w:val="single" w:sz="4" w:space="0" w:color="auto"/>
            </w:tcBorders>
            <w:hideMark/>
          </w:tcPr>
          <w:p w14:paraId="5A1C60FD"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生物学</w:t>
            </w:r>
          </w:p>
        </w:tc>
      </w:tr>
      <w:tr w:rsidR="004D51E8" w:rsidRPr="004D51E8" w14:paraId="4A4256A1"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58213504"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lastRenderedPageBreak/>
              <w:t>12</w:t>
            </w:r>
          </w:p>
        </w:tc>
        <w:tc>
          <w:tcPr>
            <w:tcW w:w="3402" w:type="dxa"/>
            <w:tcBorders>
              <w:top w:val="single" w:sz="4" w:space="0" w:color="auto"/>
              <w:left w:val="single" w:sz="4" w:space="0" w:color="auto"/>
              <w:bottom w:val="single" w:sz="4" w:space="0" w:color="auto"/>
              <w:right w:val="single" w:sz="4" w:space="0" w:color="auto"/>
            </w:tcBorders>
            <w:hideMark/>
          </w:tcPr>
          <w:p w14:paraId="0CFBC634"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郭红卫</w:t>
            </w:r>
          </w:p>
        </w:tc>
        <w:tc>
          <w:tcPr>
            <w:tcW w:w="3402" w:type="dxa"/>
            <w:tcBorders>
              <w:top w:val="single" w:sz="4" w:space="0" w:color="auto"/>
              <w:left w:val="single" w:sz="4" w:space="0" w:color="auto"/>
              <w:bottom w:val="single" w:sz="4" w:space="0" w:color="auto"/>
              <w:right w:val="single" w:sz="4" w:space="0" w:color="auto"/>
            </w:tcBorders>
            <w:hideMark/>
          </w:tcPr>
          <w:p w14:paraId="31EF7403"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生物学</w:t>
            </w:r>
          </w:p>
        </w:tc>
      </w:tr>
      <w:tr w:rsidR="004D51E8" w:rsidRPr="004D51E8" w14:paraId="4A40B83A"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6E023986"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13</w:t>
            </w:r>
          </w:p>
        </w:tc>
        <w:tc>
          <w:tcPr>
            <w:tcW w:w="3402" w:type="dxa"/>
            <w:tcBorders>
              <w:top w:val="single" w:sz="4" w:space="0" w:color="auto"/>
              <w:left w:val="single" w:sz="4" w:space="0" w:color="auto"/>
              <w:bottom w:val="single" w:sz="4" w:space="0" w:color="auto"/>
              <w:right w:val="single" w:sz="4" w:space="0" w:color="auto"/>
            </w:tcBorders>
            <w:hideMark/>
          </w:tcPr>
          <w:p w14:paraId="6665BE1E"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张政</w:t>
            </w:r>
          </w:p>
        </w:tc>
        <w:tc>
          <w:tcPr>
            <w:tcW w:w="3402" w:type="dxa"/>
            <w:tcBorders>
              <w:top w:val="single" w:sz="4" w:space="0" w:color="auto"/>
              <w:left w:val="single" w:sz="4" w:space="0" w:color="auto"/>
              <w:bottom w:val="single" w:sz="4" w:space="0" w:color="auto"/>
              <w:right w:val="single" w:sz="4" w:space="0" w:color="auto"/>
            </w:tcBorders>
            <w:hideMark/>
          </w:tcPr>
          <w:p w14:paraId="683B693A"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生物学</w:t>
            </w:r>
          </w:p>
        </w:tc>
      </w:tr>
      <w:tr w:rsidR="004D51E8" w:rsidRPr="004D51E8" w14:paraId="6F480CE1"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2FE860F6"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14</w:t>
            </w:r>
          </w:p>
        </w:tc>
        <w:tc>
          <w:tcPr>
            <w:tcW w:w="3402" w:type="dxa"/>
            <w:tcBorders>
              <w:top w:val="single" w:sz="4" w:space="0" w:color="auto"/>
              <w:left w:val="single" w:sz="4" w:space="0" w:color="auto"/>
              <w:bottom w:val="single" w:sz="4" w:space="0" w:color="auto"/>
              <w:right w:val="single" w:sz="4" w:space="0" w:color="auto"/>
            </w:tcBorders>
            <w:hideMark/>
          </w:tcPr>
          <w:p w14:paraId="00DC99AF"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杨亮</w:t>
            </w:r>
          </w:p>
        </w:tc>
        <w:tc>
          <w:tcPr>
            <w:tcW w:w="3402" w:type="dxa"/>
            <w:tcBorders>
              <w:top w:val="single" w:sz="4" w:space="0" w:color="auto"/>
              <w:left w:val="single" w:sz="4" w:space="0" w:color="auto"/>
              <w:bottom w:val="single" w:sz="4" w:space="0" w:color="auto"/>
              <w:right w:val="single" w:sz="4" w:space="0" w:color="auto"/>
            </w:tcBorders>
            <w:hideMark/>
          </w:tcPr>
          <w:p w14:paraId="2A0079A9"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生物学</w:t>
            </w:r>
          </w:p>
        </w:tc>
      </w:tr>
      <w:tr w:rsidR="004D51E8" w:rsidRPr="004D51E8" w14:paraId="041A577C"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3A22F9D4"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15</w:t>
            </w:r>
          </w:p>
        </w:tc>
        <w:tc>
          <w:tcPr>
            <w:tcW w:w="3402" w:type="dxa"/>
            <w:tcBorders>
              <w:top w:val="single" w:sz="4" w:space="0" w:color="auto"/>
              <w:left w:val="single" w:sz="4" w:space="0" w:color="auto"/>
              <w:bottom w:val="single" w:sz="4" w:space="0" w:color="auto"/>
              <w:right w:val="single" w:sz="4" w:space="0" w:color="auto"/>
            </w:tcBorders>
            <w:hideMark/>
          </w:tcPr>
          <w:p w14:paraId="6AD71367"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陈十一</w:t>
            </w:r>
          </w:p>
        </w:tc>
        <w:tc>
          <w:tcPr>
            <w:tcW w:w="3402" w:type="dxa"/>
            <w:tcBorders>
              <w:top w:val="single" w:sz="4" w:space="0" w:color="auto"/>
              <w:left w:val="single" w:sz="4" w:space="0" w:color="auto"/>
              <w:bottom w:val="single" w:sz="4" w:space="0" w:color="auto"/>
              <w:right w:val="single" w:sz="4" w:space="0" w:color="auto"/>
            </w:tcBorders>
            <w:hideMark/>
          </w:tcPr>
          <w:p w14:paraId="58104B01"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力学</w:t>
            </w:r>
          </w:p>
        </w:tc>
      </w:tr>
      <w:tr w:rsidR="004D51E8" w:rsidRPr="004D51E8" w14:paraId="4D407335"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019AD5AA"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16</w:t>
            </w:r>
          </w:p>
        </w:tc>
        <w:tc>
          <w:tcPr>
            <w:tcW w:w="3402" w:type="dxa"/>
            <w:tcBorders>
              <w:top w:val="single" w:sz="4" w:space="0" w:color="auto"/>
              <w:left w:val="single" w:sz="4" w:space="0" w:color="auto"/>
              <w:bottom w:val="single" w:sz="4" w:space="0" w:color="auto"/>
              <w:right w:val="single" w:sz="4" w:space="0" w:color="auto"/>
            </w:tcBorders>
            <w:hideMark/>
          </w:tcPr>
          <w:p w14:paraId="2C039547"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陈斌</w:t>
            </w:r>
          </w:p>
        </w:tc>
        <w:tc>
          <w:tcPr>
            <w:tcW w:w="3402" w:type="dxa"/>
            <w:tcBorders>
              <w:top w:val="single" w:sz="4" w:space="0" w:color="auto"/>
              <w:left w:val="single" w:sz="4" w:space="0" w:color="auto"/>
              <w:bottom w:val="single" w:sz="4" w:space="0" w:color="auto"/>
              <w:right w:val="single" w:sz="4" w:space="0" w:color="auto"/>
            </w:tcBorders>
            <w:hideMark/>
          </w:tcPr>
          <w:p w14:paraId="20829951"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力学</w:t>
            </w:r>
          </w:p>
        </w:tc>
      </w:tr>
      <w:tr w:rsidR="004D51E8" w:rsidRPr="004D51E8" w14:paraId="04D528D3"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3C9091FB"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17</w:t>
            </w:r>
          </w:p>
        </w:tc>
        <w:tc>
          <w:tcPr>
            <w:tcW w:w="3402" w:type="dxa"/>
            <w:tcBorders>
              <w:top w:val="single" w:sz="4" w:space="0" w:color="auto"/>
              <w:left w:val="single" w:sz="4" w:space="0" w:color="auto"/>
              <w:bottom w:val="single" w:sz="4" w:space="0" w:color="auto"/>
              <w:right w:val="single" w:sz="4" w:space="0" w:color="auto"/>
            </w:tcBorders>
            <w:hideMark/>
          </w:tcPr>
          <w:p w14:paraId="113D248D"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刘轶军</w:t>
            </w:r>
          </w:p>
        </w:tc>
        <w:tc>
          <w:tcPr>
            <w:tcW w:w="3402" w:type="dxa"/>
            <w:tcBorders>
              <w:top w:val="single" w:sz="4" w:space="0" w:color="auto"/>
              <w:left w:val="single" w:sz="4" w:space="0" w:color="auto"/>
              <w:bottom w:val="single" w:sz="4" w:space="0" w:color="auto"/>
              <w:right w:val="single" w:sz="4" w:space="0" w:color="auto"/>
            </w:tcBorders>
            <w:hideMark/>
          </w:tcPr>
          <w:p w14:paraId="71AFEAF2"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力学</w:t>
            </w:r>
          </w:p>
        </w:tc>
      </w:tr>
      <w:tr w:rsidR="004D51E8" w:rsidRPr="004D51E8" w14:paraId="64BFB96A"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008BD124"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18</w:t>
            </w:r>
          </w:p>
        </w:tc>
        <w:tc>
          <w:tcPr>
            <w:tcW w:w="3402" w:type="dxa"/>
            <w:tcBorders>
              <w:top w:val="single" w:sz="4" w:space="0" w:color="auto"/>
              <w:left w:val="single" w:sz="4" w:space="0" w:color="auto"/>
              <w:bottom w:val="single" w:sz="4" w:space="0" w:color="auto"/>
              <w:right w:val="single" w:sz="4" w:space="0" w:color="auto"/>
            </w:tcBorders>
            <w:hideMark/>
          </w:tcPr>
          <w:p w14:paraId="0EE3052F"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刘俊国</w:t>
            </w:r>
          </w:p>
        </w:tc>
        <w:tc>
          <w:tcPr>
            <w:tcW w:w="3402" w:type="dxa"/>
            <w:tcBorders>
              <w:top w:val="single" w:sz="4" w:space="0" w:color="auto"/>
              <w:left w:val="single" w:sz="4" w:space="0" w:color="auto"/>
              <w:bottom w:val="single" w:sz="4" w:space="0" w:color="auto"/>
              <w:right w:val="single" w:sz="4" w:space="0" w:color="auto"/>
            </w:tcBorders>
            <w:hideMark/>
          </w:tcPr>
          <w:p w14:paraId="364A8AE8"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力学</w:t>
            </w:r>
          </w:p>
        </w:tc>
      </w:tr>
      <w:tr w:rsidR="004D51E8" w:rsidRPr="004D51E8" w14:paraId="6FAB2D61"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2A38F279"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19</w:t>
            </w:r>
          </w:p>
        </w:tc>
        <w:tc>
          <w:tcPr>
            <w:tcW w:w="3402" w:type="dxa"/>
            <w:tcBorders>
              <w:top w:val="single" w:sz="4" w:space="0" w:color="auto"/>
              <w:left w:val="single" w:sz="4" w:space="0" w:color="auto"/>
              <w:bottom w:val="single" w:sz="4" w:space="0" w:color="auto"/>
              <w:right w:val="single" w:sz="4" w:space="0" w:color="auto"/>
            </w:tcBorders>
            <w:hideMark/>
          </w:tcPr>
          <w:p w14:paraId="65BAD310"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张东晓</w:t>
            </w:r>
          </w:p>
        </w:tc>
        <w:tc>
          <w:tcPr>
            <w:tcW w:w="3402" w:type="dxa"/>
            <w:tcBorders>
              <w:top w:val="single" w:sz="4" w:space="0" w:color="auto"/>
              <w:left w:val="single" w:sz="4" w:space="0" w:color="auto"/>
              <w:bottom w:val="single" w:sz="4" w:space="0" w:color="auto"/>
              <w:right w:val="single" w:sz="4" w:space="0" w:color="auto"/>
            </w:tcBorders>
            <w:hideMark/>
          </w:tcPr>
          <w:p w14:paraId="4B3FF51D"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力学</w:t>
            </w:r>
          </w:p>
        </w:tc>
      </w:tr>
      <w:tr w:rsidR="004D51E8" w:rsidRPr="004D51E8" w14:paraId="130E6656"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14F8C5E5"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20</w:t>
            </w:r>
          </w:p>
        </w:tc>
        <w:tc>
          <w:tcPr>
            <w:tcW w:w="3402" w:type="dxa"/>
            <w:tcBorders>
              <w:top w:val="single" w:sz="4" w:space="0" w:color="auto"/>
              <w:left w:val="single" w:sz="4" w:space="0" w:color="auto"/>
              <w:bottom w:val="single" w:sz="4" w:space="0" w:color="auto"/>
              <w:right w:val="single" w:sz="4" w:space="0" w:color="auto"/>
            </w:tcBorders>
            <w:hideMark/>
          </w:tcPr>
          <w:p w14:paraId="26CCAC26"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李海龙</w:t>
            </w:r>
          </w:p>
        </w:tc>
        <w:tc>
          <w:tcPr>
            <w:tcW w:w="3402" w:type="dxa"/>
            <w:tcBorders>
              <w:top w:val="single" w:sz="4" w:space="0" w:color="auto"/>
              <w:left w:val="single" w:sz="4" w:space="0" w:color="auto"/>
              <w:bottom w:val="single" w:sz="4" w:space="0" w:color="auto"/>
              <w:right w:val="single" w:sz="4" w:space="0" w:color="auto"/>
            </w:tcBorders>
            <w:hideMark/>
          </w:tcPr>
          <w:p w14:paraId="14F4EC00"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力学</w:t>
            </w:r>
          </w:p>
        </w:tc>
      </w:tr>
      <w:tr w:rsidR="004D51E8" w:rsidRPr="004D51E8" w14:paraId="7190C46E"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2A78BCC6"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21</w:t>
            </w:r>
          </w:p>
        </w:tc>
        <w:tc>
          <w:tcPr>
            <w:tcW w:w="3402" w:type="dxa"/>
            <w:tcBorders>
              <w:top w:val="single" w:sz="4" w:space="0" w:color="auto"/>
              <w:left w:val="single" w:sz="4" w:space="0" w:color="auto"/>
              <w:bottom w:val="single" w:sz="4" w:space="0" w:color="auto"/>
              <w:right w:val="single" w:sz="4" w:space="0" w:color="auto"/>
            </w:tcBorders>
            <w:hideMark/>
          </w:tcPr>
          <w:p w14:paraId="74EEAF00"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孙小卫</w:t>
            </w:r>
          </w:p>
        </w:tc>
        <w:tc>
          <w:tcPr>
            <w:tcW w:w="3402" w:type="dxa"/>
            <w:tcBorders>
              <w:top w:val="single" w:sz="4" w:space="0" w:color="auto"/>
              <w:left w:val="single" w:sz="4" w:space="0" w:color="auto"/>
              <w:bottom w:val="single" w:sz="4" w:space="0" w:color="auto"/>
              <w:right w:val="single" w:sz="4" w:space="0" w:color="auto"/>
            </w:tcBorders>
            <w:hideMark/>
          </w:tcPr>
          <w:p w14:paraId="03BC8040"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电子科学与技术</w:t>
            </w:r>
          </w:p>
        </w:tc>
      </w:tr>
      <w:tr w:rsidR="004D51E8" w:rsidRPr="004D51E8" w14:paraId="6D20CF55"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59CC9E1B"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22</w:t>
            </w:r>
          </w:p>
        </w:tc>
        <w:tc>
          <w:tcPr>
            <w:tcW w:w="3402" w:type="dxa"/>
            <w:tcBorders>
              <w:top w:val="single" w:sz="4" w:space="0" w:color="auto"/>
              <w:left w:val="single" w:sz="4" w:space="0" w:color="auto"/>
              <w:bottom w:val="single" w:sz="4" w:space="0" w:color="auto"/>
              <w:right w:val="single" w:sz="4" w:space="0" w:color="auto"/>
            </w:tcBorders>
            <w:hideMark/>
          </w:tcPr>
          <w:p w14:paraId="19DA4C40"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王</w:t>
            </w:r>
            <w:proofErr w:type="gramStart"/>
            <w:r w:rsidRPr="004D51E8">
              <w:rPr>
                <w:rFonts w:ascii="仿宋_GB2312" w:eastAsia="仿宋_GB2312" w:hint="eastAsia"/>
                <w:sz w:val="24"/>
              </w:rPr>
              <w:t>太</w:t>
            </w:r>
            <w:proofErr w:type="gramEnd"/>
            <w:r w:rsidRPr="004D51E8">
              <w:rPr>
                <w:rFonts w:ascii="仿宋_GB2312" w:eastAsia="仿宋_GB2312" w:hint="eastAsia"/>
                <w:sz w:val="24"/>
              </w:rPr>
              <w:t>宏</w:t>
            </w:r>
          </w:p>
        </w:tc>
        <w:tc>
          <w:tcPr>
            <w:tcW w:w="3402" w:type="dxa"/>
            <w:tcBorders>
              <w:top w:val="single" w:sz="4" w:space="0" w:color="auto"/>
              <w:left w:val="single" w:sz="4" w:space="0" w:color="auto"/>
              <w:bottom w:val="single" w:sz="4" w:space="0" w:color="auto"/>
              <w:right w:val="single" w:sz="4" w:space="0" w:color="auto"/>
            </w:tcBorders>
            <w:hideMark/>
          </w:tcPr>
          <w:p w14:paraId="66ABEFF1"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电子科学与技术</w:t>
            </w:r>
          </w:p>
        </w:tc>
      </w:tr>
      <w:tr w:rsidR="004D51E8" w:rsidRPr="004D51E8" w14:paraId="7D7F4CB0"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1EBEE778"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23</w:t>
            </w:r>
          </w:p>
        </w:tc>
        <w:tc>
          <w:tcPr>
            <w:tcW w:w="3402" w:type="dxa"/>
            <w:tcBorders>
              <w:top w:val="single" w:sz="4" w:space="0" w:color="auto"/>
              <w:left w:val="single" w:sz="4" w:space="0" w:color="auto"/>
              <w:bottom w:val="single" w:sz="4" w:space="0" w:color="auto"/>
              <w:right w:val="single" w:sz="4" w:space="0" w:color="auto"/>
            </w:tcBorders>
            <w:hideMark/>
          </w:tcPr>
          <w:p w14:paraId="1CC2962D"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戴勇</w:t>
            </w:r>
          </w:p>
        </w:tc>
        <w:tc>
          <w:tcPr>
            <w:tcW w:w="3402" w:type="dxa"/>
            <w:tcBorders>
              <w:top w:val="single" w:sz="4" w:space="0" w:color="auto"/>
              <w:left w:val="single" w:sz="4" w:space="0" w:color="auto"/>
              <w:bottom w:val="single" w:sz="4" w:space="0" w:color="auto"/>
              <w:right w:val="single" w:sz="4" w:space="0" w:color="auto"/>
            </w:tcBorders>
            <w:hideMark/>
          </w:tcPr>
          <w:p w14:paraId="7007FCEF"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临床医学</w:t>
            </w:r>
          </w:p>
        </w:tc>
      </w:tr>
      <w:tr w:rsidR="004D51E8" w:rsidRPr="004D51E8" w14:paraId="6CB86610" w14:textId="77777777" w:rsidTr="004D51E8">
        <w:tc>
          <w:tcPr>
            <w:tcW w:w="1668" w:type="dxa"/>
            <w:tcBorders>
              <w:top w:val="single" w:sz="4" w:space="0" w:color="auto"/>
              <w:left w:val="single" w:sz="4" w:space="0" w:color="auto"/>
              <w:bottom w:val="single" w:sz="4" w:space="0" w:color="auto"/>
              <w:right w:val="single" w:sz="4" w:space="0" w:color="auto"/>
            </w:tcBorders>
            <w:hideMark/>
          </w:tcPr>
          <w:p w14:paraId="17AE037C"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24</w:t>
            </w:r>
          </w:p>
        </w:tc>
        <w:tc>
          <w:tcPr>
            <w:tcW w:w="3402" w:type="dxa"/>
            <w:tcBorders>
              <w:top w:val="single" w:sz="4" w:space="0" w:color="auto"/>
              <w:left w:val="single" w:sz="4" w:space="0" w:color="auto"/>
              <w:bottom w:val="single" w:sz="4" w:space="0" w:color="auto"/>
              <w:right w:val="single" w:sz="4" w:space="0" w:color="auto"/>
            </w:tcBorders>
            <w:hideMark/>
          </w:tcPr>
          <w:p w14:paraId="09C87628"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顾东风</w:t>
            </w:r>
          </w:p>
        </w:tc>
        <w:tc>
          <w:tcPr>
            <w:tcW w:w="3402" w:type="dxa"/>
            <w:tcBorders>
              <w:top w:val="single" w:sz="4" w:space="0" w:color="auto"/>
              <w:left w:val="single" w:sz="4" w:space="0" w:color="auto"/>
              <w:bottom w:val="single" w:sz="4" w:space="0" w:color="auto"/>
              <w:right w:val="single" w:sz="4" w:space="0" w:color="auto"/>
            </w:tcBorders>
            <w:hideMark/>
          </w:tcPr>
          <w:p w14:paraId="6A69824B" w14:textId="77777777" w:rsidR="004D51E8" w:rsidRPr="004D51E8" w:rsidRDefault="004D51E8">
            <w:pPr>
              <w:spacing w:line="580" w:lineRule="exact"/>
              <w:rPr>
                <w:rFonts w:ascii="仿宋_GB2312" w:eastAsia="仿宋_GB2312"/>
                <w:sz w:val="24"/>
              </w:rPr>
            </w:pPr>
            <w:r w:rsidRPr="004D51E8">
              <w:rPr>
                <w:rFonts w:ascii="仿宋_GB2312" w:eastAsia="仿宋_GB2312" w:hint="eastAsia"/>
                <w:sz w:val="24"/>
              </w:rPr>
              <w:t>公共卫生与预防医学</w:t>
            </w:r>
          </w:p>
        </w:tc>
      </w:tr>
    </w:tbl>
    <w:p w14:paraId="79306673" w14:textId="77777777" w:rsidR="004D51E8" w:rsidRDefault="004D51E8" w:rsidP="004D51E8">
      <w:pPr>
        <w:spacing w:line="580" w:lineRule="exact"/>
        <w:ind w:firstLineChars="200" w:firstLine="640"/>
        <w:rPr>
          <w:rFonts w:ascii="仿宋_GB2312" w:eastAsia="仿宋_GB2312"/>
          <w:sz w:val="32"/>
          <w:szCs w:val="32"/>
        </w:rPr>
      </w:pPr>
    </w:p>
    <w:p w14:paraId="50D746AF" w14:textId="77777777" w:rsidR="004D51E8" w:rsidRDefault="004D51E8" w:rsidP="004D51E8">
      <w:pPr>
        <w:spacing w:line="580" w:lineRule="exact"/>
        <w:ind w:firstLineChars="200" w:firstLine="643"/>
        <w:rPr>
          <w:rFonts w:ascii="仿宋_GB2312" w:eastAsia="仿宋_GB2312" w:hAnsi="仿宋" w:cs="仿宋"/>
          <w:b/>
          <w:sz w:val="32"/>
          <w:szCs w:val="32"/>
        </w:rPr>
      </w:pPr>
      <w:r>
        <w:rPr>
          <w:rFonts w:ascii="仿宋" w:eastAsia="仿宋" w:hAnsi="仿宋" w:cs="仿宋" w:hint="eastAsia"/>
          <w:b/>
          <w:sz w:val="32"/>
          <w:szCs w:val="32"/>
        </w:rPr>
        <w:t>4.</w:t>
      </w:r>
      <w:r>
        <w:t xml:space="preserve"> </w:t>
      </w:r>
      <w:r>
        <w:rPr>
          <w:rFonts w:ascii="仿宋_GB2312" w:eastAsia="仿宋_GB2312" w:hAnsi="仿宋" w:cs="仿宋" w:hint="eastAsia"/>
          <w:b/>
          <w:sz w:val="32"/>
          <w:szCs w:val="32"/>
        </w:rPr>
        <w:t>科技成果转移转化取得新发展。</w:t>
      </w:r>
    </w:p>
    <w:p w14:paraId="6DBF799E" w14:textId="77777777" w:rsidR="004D51E8" w:rsidRDefault="004D51E8" w:rsidP="004D51E8">
      <w:pPr>
        <w:spacing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知识产权管理和运营工作方面。2020年学校获国家知识产权总局、教育部</w:t>
      </w:r>
      <w:proofErr w:type="gramStart"/>
      <w:r>
        <w:rPr>
          <w:rFonts w:ascii="仿宋_GB2312" w:eastAsia="仿宋_GB2312" w:hAnsi="仿宋" w:cs="仿宋" w:hint="eastAsia"/>
          <w:bCs/>
          <w:sz w:val="32"/>
          <w:szCs w:val="32"/>
        </w:rPr>
        <w:t>批成为</w:t>
      </w:r>
      <w:proofErr w:type="gramEnd"/>
      <w:r>
        <w:rPr>
          <w:rFonts w:ascii="仿宋_GB2312" w:eastAsia="仿宋_GB2312" w:hAnsi="仿宋" w:cs="仿宋" w:hint="eastAsia"/>
          <w:bCs/>
          <w:sz w:val="32"/>
          <w:szCs w:val="32"/>
        </w:rPr>
        <w:t>首批国家知识产权试点高校。全年共提交专利申请735件，同比增长37.4%，其中境内专利申请674件（含发明专利562件，占比83.4%）；PCT国际专利申请47件，境外专利申请14件。全年共获得新授权专利276件，同比增长79.2%，其中，获境内授权专利269件（含发明专利152件），境外专利授权7件。全年</w:t>
      </w:r>
      <w:proofErr w:type="gramStart"/>
      <w:r>
        <w:rPr>
          <w:rFonts w:ascii="仿宋_GB2312" w:eastAsia="仿宋_GB2312" w:hAnsi="仿宋" w:cs="仿宋" w:hint="eastAsia"/>
          <w:bCs/>
          <w:sz w:val="32"/>
          <w:szCs w:val="32"/>
        </w:rPr>
        <w:t>软著登记</w:t>
      </w:r>
      <w:proofErr w:type="gramEnd"/>
      <w:r>
        <w:rPr>
          <w:rFonts w:ascii="仿宋_GB2312" w:eastAsia="仿宋_GB2312" w:hAnsi="仿宋" w:cs="仿宋" w:hint="eastAsia"/>
          <w:bCs/>
          <w:sz w:val="32"/>
          <w:szCs w:val="32"/>
        </w:rPr>
        <w:t>24件。</w:t>
      </w:r>
    </w:p>
    <w:p w14:paraId="65A99EA1" w14:textId="77777777" w:rsidR="004D51E8" w:rsidRDefault="004D51E8" w:rsidP="004D51E8">
      <w:pPr>
        <w:spacing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推动区域产学研生态体系建设方面。2020年我校正式加</w:t>
      </w:r>
      <w:r>
        <w:rPr>
          <w:rFonts w:ascii="仿宋_GB2312" w:eastAsia="仿宋_GB2312" w:hAnsi="仿宋" w:cs="仿宋" w:hint="eastAsia"/>
          <w:bCs/>
          <w:sz w:val="32"/>
          <w:szCs w:val="32"/>
        </w:rPr>
        <w:lastRenderedPageBreak/>
        <w:t>入国际应用科技开发协作网(ISTA)，其成员网校包括29所境内外知名院校，共同发起筹备“西丽湖国际科教城技术转移联盟”，积极参与“深港澳天使投资人联盟”活动等，促进区域成果转化创新生态系统的搭建。</w:t>
      </w:r>
    </w:p>
    <w:p w14:paraId="3737669F" w14:textId="77777777" w:rsidR="004D51E8" w:rsidRDefault="004D51E8" w:rsidP="004D51E8">
      <w:pPr>
        <w:spacing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创新成果转移转化方面。通过法律法规引领、体系建设及资源对接，以技术转让、许可、入股等多种形式，推动学校的创新成果转移转化。全年共转移转化103件科技成果。首次完成20件科技成果所有权赋予科研人员，首次开拓通过一次性许可费用</w:t>
      </w:r>
      <w:proofErr w:type="gramStart"/>
      <w:r>
        <w:rPr>
          <w:rFonts w:ascii="仿宋_GB2312" w:eastAsia="仿宋_GB2312" w:hAnsi="仿宋" w:cs="仿宋" w:hint="eastAsia"/>
          <w:bCs/>
          <w:sz w:val="32"/>
          <w:szCs w:val="32"/>
        </w:rPr>
        <w:t>加未来</w:t>
      </w:r>
      <w:proofErr w:type="gramEnd"/>
      <w:r>
        <w:rPr>
          <w:rFonts w:ascii="仿宋_GB2312" w:eastAsia="仿宋_GB2312" w:hAnsi="仿宋" w:cs="仿宋" w:hint="eastAsia"/>
          <w:bCs/>
          <w:sz w:val="32"/>
          <w:szCs w:val="32"/>
        </w:rPr>
        <w:t>销售额提成方式的转移转化。根据市审计局专项调查统计，截至2020年6月，我校已授权发明专利的成果转化率为14.91%，位居深圳高校及科研院所前列。</w:t>
      </w:r>
    </w:p>
    <w:p w14:paraId="6368BD52" w14:textId="77777777" w:rsidR="004D51E8" w:rsidRDefault="004D51E8" w:rsidP="004D51E8">
      <w:pPr>
        <w:spacing w:line="580" w:lineRule="exact"/>
        <w:ind w:firstLineChars="200" w:firstLine="643"/>
        <w:rPr>
          <w:rFonts w:ascii="仿宋_GB2312" w:eastAsia="仿宋_GB2312"/>
          <w:b/>
          <w:bCs/>
          <w:sz w:val="32"/>
          <w:szCs w:val="32"/>
        </w:rPr>
      </w:pPr>
      <w:r>
        <w:rPr>
          <w:rFonts w:ascii="仿宋_GB2312" w:eastAsia="仿宋_GB2312" w:hint="eastAsia"/>
          <w:b/>
          <w:bCs/>
          <w:sz w:val="32"/>
          <w:szCs w:val="32"/>
        </w:rPr>
        <w:t>5.博士后人才队伍进一步壮大。</w:t>
      </w:r>
    </w:p>
    <w:p w14:paraId="4433F1A5" w14:textId="77777777" w:rsidR="004D51E8" w:rsidRDefault="004D51E8" w:rsidP="004D51E8">
      <w:pPr>
        <w:spacing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2019年底我校获批数学、物理学、生物学、力学四个博士后科研流动站，申请通过率100%，学校博士后工作取得重大突破。新获批的4个博士后科研流动站将开启我校高层次人才队伍建设培养的新篇章，为学校学科建设与科研发展提供强有力的支撑与保障。</w:t>
      </w:r>
    </w:p>
    <w:p w14:paraId="17CA0E47" w14:textId="77777777" w:rsidR="004D51E8" w:rsidRDefault="004D51E8" w:rsidP="004D51E8">
      <w:pPr>
        <w:spacing w:line="58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同时学校继续依托南方科技大学技术转移中心博士后科研工作站及广东省、深圳市两级博士后创新实践基地，与武汉大学、南开大学、东南大学和中科院大连化学物理研究所、华南农业大学、中国科学技术大学、中科院上海光机所、北京计算科学中心、电子科技大学、中科院上海有机化学研究所等多家单位开展博士后联合培养工作。</w:t>
      </w:r>
    </w:p>
    <w:p w14:paraId="3D926A46" w14:textId="77777777" w:rsidR="004D51E8" w:rsidRPr="004D51E8" w:rsidRDefault="004D51E8" w:rsidP="004D51E8">
      <w:pPr>
        <w:spacing w:line="580" w:lineRule="exact"/>
        <w:ind w:firstLineChars="200" w:firstLine="640"/>
        <w:rPr>
          <w:rFonts w:ascii="仿宋_GB2312" w:eastAsia="仿宋_GB2312" w:hAnsi="仿宋" w:cs="仿宋"/>
          <w:bCs/>
          <w:sz w:val="32"/>
          <w:szCs w:val="32"/>
        </w:rPr>
      </w:pPr>
      <w:r w:rsidRPr="004D51E8">
        <w:rPr>
          <w:rFonts w:ascii="仿宋_GB2312" w:eastAsia="仿宋_GB2312" w:hAnsi="仿宋" w:cs="仿宋" w:hint="eastAsia"/>
          <w:bCs/>
          <w:sz w:val="32"/>
          <w:szCs w:val="32"/>
        </w:rPr>
        <w:lastRenderedPageBreak/>
        <w:t>2020年度在站博士后超过600人，其中本校流动站招收超过400人。同时学校第一次作为主体单位开展中国博士后基金各类项目的申报工作，获</w:t>
      </w:r>
      <w:proofErr w:type="gramStart"/>
      <w:r w:rsidRPr="004D51E8">
        <w:rPr>
          <w:rFonts w:ascii="仿宋_GB2312" w:eastAsia="仿宋_GB2312" w:hAnsi="仿宋" w:cs="仿宋" w:hint="eastAsia"/>
          <w:bCs/>
          <w:sz w:val="32"/>
          <w:szCs w:val="32"/>
        </w:rPr>
        <w:t>批中国</w:t>
      </w:r>
      <w:proofErr w:type="gramEnd"/>
      <w:r w:rsidRPr="004D51E8">
        <w:rPr>
          <w:rFonts w:ascii="仿宋_GB2312" w:eastAsia="仿宋_GB2312" w:hAnsi="仿宋" w:cs="仿宋" w:hint="eastAsia"/>
          <w:bCs/>
          <w:sz w:val="32"/>
          <w:szCs w:val="32"/>
        </w:rPr>
        <w:t>博士后基金各类项目48人次。其中获批“博新计划”1人，“中德博士后交流项目”1人，“博士后交流引进项目”1人；新冠肺炎疫情防控专项资助1人，第67批面上项目18人（流动站16人，工作站2人）。第68批面上项目26人（流动站23人，工作站3人）。完成深圳市博士后进站备案388人，博士后入户280人次，完成开题考核、中期考核和出站</w:t>
      </w:r>
      <w:proofErr w:type="gramStart"/>
      <w:r w:rsidRPr="004D51E8">
        <w:rPr>
          <w:rFonts w:ascii="仿宋_GB2312" w:eastAsia="仿宋_GB2312" w:hAnsi="仿宋" w:cs="仿宋" w:hint="eastAsia"/>
          <w:bCs/>
          <w:sz w:val="32"/>
          <w:szCs w:val="32"/>
        </w:rPr>
        <w:t>考核近</w:t>
      </w:r>
      <w:proofErr w:type="gramEnd"/>
      <w:r w:rsidRPr="004D51E8">
        <w:rPr>
          <w:rFonts w:ascii="仿宋_GB2312" w:eastAsia="仿宋_GB2312" w:hAnsi="仿宋" w:cs="仿宋" w:hint="eastAsia"/>
          <w:bCs/>
          <w:sz w:val="32"/>
          <w:szCs w:val="32"/>
        </w:rPr>
        <w:t>1150人次。协助博士后完成深圳市政府生活补贴申请830余人次，金额共计8,240余万元，较2019年申请补贴人次增长108%，金额增长14.5% 。同时完成第七批、第八批校长卓越博士后评审工作，接收申请134人次，评审通过卓越博士后30人。</w:t>
      </w:r>
    </w:p>
    <w:p w14:paraId="3503C6EA" w14:textId="77777777" w:rsidR="004D51E8" w:rsidRDefault="004D51E8" w:rsidP="004D51E8">
      <w:pPr>
        <w:spacing w:line="580" w:lineRule="exact"/>
        <w:ind w:firstLineChars="200" w:firstLine="643"/>
        <w:rPr>
          <w:rFonts w:ascii="仿宋_GB2312" w:eastAsia="仿宋_GB2312" w:hAnsi="楷体_GB2312" w:cs="楷体_GB2312"/>
          <w:bCs/>
          <w:sz w:val="32"/>
          <w:szCs w:val="32"/>
        </w:rPr>
      </w:pPr>
      <w:r>
        <w:rPr>
          <w:rFonts w:ascii="仿宋_GB2312" w:eastAsia="仿宋_GB2312" w:hint="eastAsia"/>
          <w:b/>
          <w:bCs/>
          <w:sz w:val="32"/>
          <w:szCs w:val="32"/>
        </w:rPr>
        <w:t>6.</w:t>
      </w:r>
      <w:r>
        <w:t xml:space="preserve"> </w:t>
      </w:r>
      <w:r>
        <w:rPr>
          <w:rFonts w:ascii="仿宋_GB2312" w:eastAsia="仿宋_GB2312" w:hint="eastAsia"/>
          <w:b/>
          <w:bCs/>
          <w:sz w:val="32"/>
          <w:szCs w:val="32"/>
        </w:rPr>
        <w:t>国际排名史上最佳，国际影响力不断提高。</w:t>
      </w:r>
    </w:p>
    <w:p w14:paraId="6CF2BD6C" w14:textId="77777777" w:rsidR="004D51E8" w:rsidRDefault="004D51E8" w:rsidP="004D51E8">
      <w:pPr>
        <w:spacing w:line="580" w:lineRule="exact"/>
        <w:ind w:firstLineChars="200" w:firstLine="640"/>
        <w:rPr>
          <w:rFonts w:ascii="仿宋_GB2312" w:eastAsia="仿宋_GB2312" w:hAnsi="楷体_GB2312" w:cs="楷体_GB2312"/>
          <w:bCs/>
          <w:sz w:val="32"/>
          <w:szCs w:val="32"/>
        </w:rPr>
      </w:pPr>
      <w:r>
        <w:rPr>
          <w:rFonts w:ascii="仿宋_GB2312" w:eastAsia="仿宋_GB2312" w:hAnsi="楷体_GB2312" w:cs="楷体_GB2312" w:hint="eastAsia"/>
          <w:bCs/>
          <w:sz w:val="32"/>
          <w:szCs w:val="32"/>
        </w:rPr>
        <w:t>我校良好发展态势获得持续广泛关注，2020年国际排名史上最佳。我校在泰晤士高等教育世界大学排名中首次进入世界前300，首次成为中国内地第八（而非“并列第八”），在QS及US News等国际排名中均有上升，在其他多个排名指数中，我校均获得不错的成绩，</w:t>
      </w:r>
      <w:r>
        <w:rPr>
          <w:rFonts w:ascii="仿宋_GB2312" w:eastAsia="仿宋_GB2312" w:hint="eastAsia"/>
          <w:sz w:val="32"/>
          <w:szCs w:val="32"/>
        </w:rPr>
        <w:t>具体见下表：</w:t>
      </w:r>
    </w:p>
    <w:tbl>
      <w:tblPr>
        <w:tblW w:w="8222" w:type="dxa"/>
        <w:tblInd w:w="108" w:type="dxa"/>
        <w:tblLook w:val="04A0" w:firstRow="1" w:lastRow="0" w:firstColumn="1" w:lastColumn="0" w:noHBand="0" w:noVBand="1"/>
      </w:tblPr>
      <w:tblGrid>
        <w:gridCol w:w="3856"/>
        <w:gridCol w:w="4366"/>
      </w:tblGrid>
      <w:tr w:rsidR="004D51E8" w:rsidRPr="004D51E8" w14:paraId="601555A0" w14:textId="77777777" w:rsidTr="004D51E8">
        <w:trPr>
          <w:trHeight w:val="375"/>
        </w:trPr>
        <w:tc>
          <w:tcPr>
            <w:tcW w:w="3856" w:type="dxa"/>
            <w:tcBorders>
              <w:top w:val="single" w:sz="4" w:space="0" w:color="auto"/>
              <w:left w:val="single" w:sz="4" w:space="0" w:color="auto"/>
              <w:bottom w:val="single" w:sz="4" w:space="0" w:color="auto"/>
              <w:right w:val="single" w:sz="4" w:space="0" w:color="auto"/>
            </w:tcBorders>
            <w:vAlign w:val="center"/>
            <w:hideMark/>
          </w:tcPr>
          <w:p w14:paraId="3759BDD7" w14:textId="77777777" w:rsidR="004D51E8" w:rsidRPr="004D51E8" w:rsidRDefault="004D51E8">
            <w:pPr>
              <w:widowControl/>
              <w:jc w:val="center"/>
              <w:rPr>
                <w:rFonts w:ascii="仿宋_GB2312" w:eastAsia="仿宋_GB2312"/>
                <w:b/>
                <w:bCs/>
                <w:kern w:val="0"/>
                <w:sz w:val="24"/>
              </w:rPr>
            </w:pPr>
            <w:r w:rsidRPr="004D51E8">
              <w:rPr>
                <w:rFonts w:ascii="仿宋_GB2312" w:eastAsia="仿宋_GB2312" w:hint="eastAsia"/>
                <w:b/>
                <w:bCs/>
                <w:kern w:val="0"/>
                <w:sz w:val="24"/>
              </w:rPr>
              <w:t>2020年排行榜名称及名次</w:t>
            </w:r>
          </w:p>
        </w:tc>
        <w:tc>
          <w:tcPr>
            <w:tcW w:w="4366" w:type="dxa"/>
            <w:tcBorders>
              <w:top w:val="single" w:sz="4" w:space="0" w:color="auto"/>
              <w:left w:val="nil"/>
              <w:bottom w:val="single" w:sz="4" w:space="0" w:color="auto"/>
              <w:right w:val="single" w:sz="4" w:space="0" w:color="auto"/>
            </w:tcBorders>
            <w:vAlign w:val="center"/>
            <w:hideMark/>
          </w:tcPr>
          <w:p w14:paraId="08D4A046" w14:textId="77777777" w:rsidR="004D51E8" w:rsidRPr="004D51E8" w:rsidRDefault="004D51E8">
            <w:pPr>
              <w:widowControl/>
              <w:jc w:val="center"/>
              <w:rPr>
                <w:rFonts w:ascii="仿宋_GB2312" w:eastAsia="仿宋_GB2312" w:hAnsi="宋体" w:cs="宋体"/>
                <w:b/>
                <w:bCs/>
                <w:kern w:val="0"/>
                <w:sz w:val="24"/>
              </w:rPr>
            </w:pPr>
            <w:r w:rsidRPr="004D51E8">
              <w:rPr>
                <w:rFonts w:ascii="仿宋_GB2312" w:eastAsia="仿宋_GB2312" w:hAnsi="宋体" w:cs="宋体" w:hint="eastAsia"/>
                <w:b/>
                <w:bCs/>
                <w:kern w:val="0"/>
                <w:sz w:val="24"/>
              </w:rPr>
              <w:t>较上年</w:t>
            </w:r>
          </w:p>
        </w:tc>
      </w:tr>
      <w:tr w:rsidR="004D51E8" w:rsidRPr="004D51E8" w14:paraId="3CCCCCE8" w14:textId="77777777" w:rsidTr="004D51E8">
        <w:trPr>
          <w:trHeight w:val="300"/>
        </w:trPr>
        <w:tc>
          <w:tcPr>
            <w:tcW w:w="3856" w:type="dxa"/>
            <w:tcBorders>
              <w:top w:val="nil"/>
              <w:left w:val="single" w:sz="4" w:space="0" w:color="auto"/>
              <w:bottom w:val="single" w:sz="4" w:space="0" w:color="auto"/>
              <w:right w:val="single" w:sz="4" w:space="0" w:color="auto"/>
            </w:tcBorders>
            <w:vAlign w:val="center"/>
            <w:hideMark/>
          </w:tcPr>
          <w:p w14:paraId="2D82BDCF" w14:textId="77777777" w:rsidR="004D51E8" w:rsidRPr="004D51E8" w:rsidRDefault="004D51E8">
            <w:pPr>
              <w:widowControl/>
              <w:jc w:val="left"/>
              <w:rPr>
                <w:rFonts w:ascii="仿宋_GB2312" w:eastAsia="仿宋_GB2312" w:hAnsiTheme="minorEastAsia"/>
                <w:kern w:val="0"/>
                <w:sz w:val="24"/>
              </w:rPr>
            </w:pPr>
            <w:r w:rsidRPr="004D51E8">
              <w:rPr>
                <w:rFonts w:ascii="仿宋_GB2312" w:eastAsia="仿宋_GB2312" w:hAnsiTheme="minorEastAsia" w:hint="eastAsia"/>
                <w:kern w:val="0"/>
                <w:sz w:val="24"/>
              </w:rPr>
              <w:t>2021泰晤士世界大学排名，世界第253，中国内地第8</w:t>
            </w:r>
          </w:p>
        </w:tc>
        <w:tc>
          <w:tcPr>
            <w:tcW w:w="4366" w:type="dxa"/>
            <w:tcBorders>
              <w:top w:val="nil"/>
              <w:left w:val="nil"/>
              <w:bottom w:val="single" w:sz="4" w:space="0" w:color="auto"/>
              <w:right w:val="single" w:sz="4" w:space="0" w:color="auto"/>
            </w:tcBorders>
            <w:vAlign w:val="center"/>
            <w:hideMark/>
          </w:tcPr>
          <w:p w14:paraId="0BB86A25" w14:textId="77777777" w:rsidR="004D51E8" w:rsidRPr="004D51E8" w:rsidRDefault="004D51E8">
            <w:pPr>
              <w:widowControl/>
              <w:jc w:val="left"/>
              <w:rPr>
                <w:rFonts w:ascii="仿宋_GB2312" w:eastAsia="仿宋_GB2312" w:hAnsiTheme="minorEastAsia"/>
                <w:kern w:val="0"/>
                <w:sz w:val="24"/>
              </w:rPr>
            </w:pPr>
            <w:r w:rsidRPr="004D51E8">
              <w:rPr>
                <w:rFonts w:ascii="仿宋_GB2312" w:eastAsia="仿宋_GB2312" w:hAnsiTheme="minorEastAsia" w:hint="eastAsia"/>
                <w:kern w:val="0"/>
                <w:sz w:val="24"/>
              </w:rPr>
              <w:t>世界上升20.2%，中国内地上升11.1%</w:t>
            </w:r>
          </w:p>
        </w:tc>
      </w:tr>
      <w:tr w:rsidR="004D51E8" w:rsidRPr="004D51E8" w14:paraId="1247B8A3" w14:textId="77777777" w:rsidTr="004D51E8">
        <w:trPr>
          <w:trHeight w:val="300"/>
        </w:trPr>
        <w:tc>
          <w:tcPr>
            <w:tcW w:w="3856" w:type="dxa"/>
            <w:tcBorders>
              <w:top w:val="nil"/>
              <w:left w:val="single" w:sz="4" w:space="0" w:color="auto"/>
              <w:bottom w:val="single" w:sz="4" w:space="0" w:color="auto"/>
              <w:right w:val="single" w:sz="4" w:space="0" w:color="auto"/>
            </w:tcBorders>
            <w:vAlign w:val="center"/>
            <w:hideMark/>
          </w:tcPr>
          <w:p w14:paraId="17DDB45B" w14:textId="77777777" w:rsidR="004D51E8" w:rsidRPr="004D51E8" w:rsidRDefault="004D51E8">
            <w:pPr>
              <w:widowControl/>
              <w:jc w:val="left"/>
              <w:rPr>
                <w:rFonts w:ascii="仿宋_GB2312" w:eastAsia="仿宋_GB2312" w:hAnsiTheme="minorEastAsia"/>
                <w:kern w:val="0"/>
                <w:sz w:val="24"/>
              </w:rPr>
            </w:pPr>
            <w:r w:rsidRPr="004D51E8">
              <w:rPr>
                <w:rFonts w:ascii="仿宋_GB2312" w:eastAsia="仿宋_GB2312" w:hAnsiTheme="minorEastAsia" w:hint="eastAsia"/>
                <w:kern w:val="0"/>
                <w:sz w:val="24"/>
              </w:rPr>
              <w:t>2020泰晤士亚洲大学排名，亚洲第33，中国内地第8</w:t>
            </w:r>
          </w:p>
        </w:tc>
        <w:tc>
          <w:tcPr>
            <w:tcW w:w="4366" w:type="dxa"/>
            <w:tcBorders>
              <w:top w:val="nil"/>
              <w:left w:val="nil"/>
              <w:bottom w:val="single" w:sz="4" w:space="0" w:color="auto"/>
              <w:right w:val="single" w:sz="4" w:space="0" w:color="auto"/>
            </w:tcBorders>
            <w:vAlign w:val="center"/>
            <w:hideMark/>
          </w:tcPr>
          <w:p w14:paraId="2F5CB2E5" w14:textId="77777777" w:rsidR="004D51E8" w:rsidRPr="004D51E8" w:rsidRDefault="004D51E8">
            <w:pPr>
              <w:widowControl/>
              <w:jc w:val="left"/>
              <w:rPr>
                <w:rFonts w:ascii="仿宋_GB2312" w:eastAsia="仿宋_GB2312" w:hAnsiTheme="minorEastAsia"/>
                <w:kern w:val="0"/>
                <w:sz w:val="24"/>
              </w:rPr>
            </w:pPr>
            <w:r w:rsidRPr="004D51E8">
              <w:rPr>
                <w:rFonts w:ascii="仿宋_GB2312" w:eastAsia="仿宋_GB2312" w:hAnsiTheme="minorEastAsia" w:hint="eastAsia"/>
                <w:kern w:val="0"/>
                <w:sz w:val="24"/>
              </w:rPr>
              <w:t>亚洲上升19.5%，中国内地上升20%</w:t>
            </w:r>
          </w:p>
        </w:tc>
      </w:tr>
      <w:tr w:rsidR="004D51E8" w:rsidRPr="004D51E8" w14:paraId="639FE7E8" w14:textId="77777777" w:rsidTr="004D51E8">
        <w:trPr>
          <w:trHeight w:val="300"/>
        </w:trPr>
        <w:tc>
          <w:tcPr>
            <w:tcW w:w="3856" w:type="dxa"/>
            <w:tcBorders>
              <w:top w:val="nil"/>
              <w:left w:val="single" w:sz="4" w:space="0" w:color="auto"/>
              <w:bottom w:val="single" w:sz="4" w:space="0" w:color="auto"/>
              <w:right w:val="single" w:sz="4" w:space="0" w:color="auto"/>
            </w:tcBorders>
            <w:vAlign w:val="center"/>
            <w:hideMark/>
          </w:tcPr>
          <w:p w14:paraId="6482F697" w14:textId="77777777" w:rsidR="004D51E8" w:rsidRPr="004D51E8" w:rsidRDefault="004D51E8">
            <w:pPr>
              <w:widowControl/>
              <w:jc w:val="left"/>
              <w:rPr>
                <w:rFonts w:ascii="仿宋_GB2312" w:eastAsia="仿宋_GB2312" w:hAnsiTheme="minorEastAsia"/>
                <w:kern w:val="0"/>
                <w:sz w:val="24"/>
              </w:rPr>
            </w:pPr>
            <w:r w:rsidRPr="004D51E8">
              <w:rPr>
                <w:rFonts w:ascii="仿宋_GB2312" w:eastAsia="仿宋_GB2312" w:hAnsiTheme="minorEastAsia" w:hint="eastAsia"/>
                <w:kern w:val="0"/>
                <w:sz w:val="24"/>
              </w:rPr>
              <w:t>2020泰晤士年轻大学排名，世界第47，中国内地第1</w:t>
            </w:r>
          </w:p>
        </w:tc>
        <w:tc>
          <w:tcPr>
            <w:tcW w:w="4366" w:type="dxa"/>
            <w:tcBorders>
              <w:top w:val="nil"/>
              <w:left w:val="nil"/>
              <w:bottom w:val="single" w:sz="4" w:space="0" w:color="auto"/>
              <w:right w:val="single" w:sz="4" w:space="0" w:color="auto"/>
            </w:tcBorders>
            <w:vAlign w:val="center"/>
            <w:hideMark/>
          </w:tcPr>
          <w:p w14:paraId="0F3AF399" w14:textId="77777777" w:rsidR="004D51E8" w:rsidRPr="004D51E8" w:rsidRDefault="004D51E8">
            <w:pPr>
              <w:widowControl/>
              <w:jc w:val="left"/>
              <w:rPr>
                <w:rFonts w:ascii="仿宋_GB2312" w:eastAsia="仿宋_GB2312" w:hAnsiTheme="minorEastAsia"/>
                <w:kern w:val="0"/>
                <w:sz w:val="24"/>
              </w:rPr>
            </w:pPr>
            <w:r w:rsidRPr="004D51E8">
              <w:rPr>
                <w:rFonts w:ascii="仿宋_GB2312" w:eastAsia="仿宋_GB2312" w:hAnsiTheme="minorEastAsia" w:hint="eastAsia"/>
                <w:kern w:val="0"/>
                <w:sz w:val="24"/>
              </w:rPr>
              <w:t>世界上升14.5%，中国内地蝉联第一</w:t>
            </w:r>
          </w:p>
        </w:tc>
      </w:tr>
      <w:tr w:rsidR="004D51E8" w:rsidRPr="004D51E8" w14:paraId="275CDB7D" w14:textId="77777777" w:rsidTr="004D51E8">
        <w:trPr>
          <w:trHeight w:val="300"/>
        </w:trPr>
        <w:tc>
          <w:tcPr>
            <w:tcW w:w="3856" w:type="dxa"/>
            <w:tcBorders>
              <w:top w:val="nil"/>
              <w:left w:val="single" w:sz="4" w:space="0" w:color="auto"/>
              <w:bottom w:val="single" w:sz="4" w:space="0" w:color="auto"/>
              <w:right w:val="single" w:sz="4" w:space="0" w:color="auto"/>
            </w:tcBorders>
            <w:vAlign w:val="center"/>
            <w:hideMark/>
          </w:tcPr>
          <w:p w14:paraId="08909962" w14:textId="77777777" w:rsidR="004D51E8" w:rsidRPr="004D51E8" w:rsidRDefault="004D51E8">
            <w:pPr>
              <w:widowControl/>
              <w:jc w:val="left"/>
              <w:rPr>
                <w:rFonts w:ascii="仿宋_GB2312" w:eastAsia="仿宋_GB2312" w:hAnsiTheme="minorEastAsia"/>
                <w:color w:val="000000"/>
                <w:kern w:val="0"/>
                <w:sz w:val="24"/>
              </w:rPr>
            </w:pPr>
            <w:r w:rsidRPr="004D51E8">
              <w:rPr>
                <w:rFonts w:ascii="仿宋_GB2312" w:eastAsia="仿宋_GB2312" w:hAnsiTheme="minorEastAsia" w:hint="eastAsia"/>
                <w:color w:val="000000"/>
                <w:kern w:val="0"/>
                <w:sz w:val="24"/>
              </w:rPr>
              <w:t>2021 QS世界大学排名，世界第323，中国内地第14</w:t>
            </w:r>
          </w:p>
        </w:tc>
        <w:tc>
          <w:tcPr>
            <w:tcW w:w="4366" w:type="dxa"/>
            <w:tcBorders>
              <w:top w:val="nil"/>
              <w:left w:val="nil"/>
              <w:bottom w:val="single" w:sz="4" w:space="0" w:color="auto"/>
              <w:right w:val="single" w:sz="4" w:space="0" w:color="auto"/>
            </w:tcBorders>
            <w:vAlign w:val="center"/>
            <w:hideMark/>
          </w:tcPr>
          <w:p w14:paraId="2E58FFDF" w14:textId="77777777" w:rsidR="004D51E8" w:rsidRPr="004D51E8" w:rsidRDefault="004D51E8">
            <w:pPr>
              <w:widowControl/>
              <w:jc w:val="left"/>
              <w:rPr>
                <w:rFonts w:ascii="仿宋_GB2312" w:eastAsia="仿宋_GB2312" w:hAnsiTheme="minorEastAsia" w:cs="宋体"/>
                <w:color w:val="000000"/>
                <w:kern w:val="0"/>
                <w:sz w:val="24"/>
              </w:rPr>
            </w:pPr>
            <w:r w:rsidRPr="004D51E8">
              <w:rPr>
                <w:rFonts w:ascii="仿宋_GB2312" w:eastAsia="仿宋_GB2312" w:hAnsiTheme="minorEastAsia" w:cs="宋体" w:hint="eastAsia"/>
                <w:color w:val="000000"/>
                <w:kern w:val="0"/>
                <w:sz w:val="24"/>
              </w:rPr>
              <w:t>首次上榜</w:t>
            </w:r>
          </w:p>
        </w:tc>
      </w:tr>
      <w:tr w:rsidR="004D51E8" w:rsidRPr="004D51E8" w14:paraId="609E6166" w14:textId="77777777" w:rsidTr="004D51E8">
        <w:trPr>
          <w:trHeight w:val="300"/>
        </w:trPr>
        <w:tc>
          <w:tcPr>
            <w:tcW w:w="3856" w:type="dxa"/>
            <w:tcBorders>
              <w:top w:val="nil"/>
              <w:left w:val="single" w:sz="4" w:space="0" w:color="auto"/>
              <w:bottom w:val="single" w:sz="4" w:space="0" w:color="auto"/>
              <w:right w:val="single" w:sz="4" w:space="0" w:color="auto"/>
            </w:tcBorders>
            <w:vAlign w:val="center"/>
            <w:hideMark/>
          </w:tcPr>
          <w:p w14:paraId="305D1D35" w14:textId="77777777" w:rsidR="004D51E8" w:rsidRPr="004D51E8" w:rsidRDefault="004D51E8">
            <w:pPr>
              <w:widowControl/>
              <w:jc w:val="left"/>
              <w:rPr>
                <w:rFonts w:ascii="仿宋_GB2312" w:eastAsia="仿宋_GB2312" w:hAnsiTheme="minorEastAsia"/>
                <w:color w:val="000000"/>
                <w:kern w:val="0"/>
                <w:sz w:val="24"/>
              </w:rPr>
            </w:pPr>
            <w:r w:rsidRPr="004D51E8">
              <w:rPr>
                <w:rFonts w:ascii="仿宋_GB2312" w:eastAsia="仿宋_GB2312" w:hAnsiTheme="minorEastAsia" w:hint="eastAsia"/>
                <w:color w:val="000000"/>
                <w:kern w:val="0"/>
                <w:sz w:val="24"/>
              </w:rPr>
              <w:lastRenderedPageBreak/>
              <w:t>2021 QS年轻大学排名，世界第36，中国内地第1</w:t>
            </w:r>
          </w:p>
        </w:tc>
        <w:tc>
          <w:tcPr>
            <w:tcW w:w="4366" w:type="dxa"/>
            <w:tcBorders>
              <w:top w:val="nil"/>
              <w:left w:val="nil"/>
              <w:bottom w:val="single" w:sz="4" w:space="0" w:color="auto"/>
              <w:right w:val="single" w:sz="4" w:space="0" w:color="auto"/>
            </w:tcBorders>
            <w:vAlign w:val="center"/>
            <w:hideMark/>
          </w:tcPr>
          <w:p w14:paraId="7F364913" w14:textId="77777777" w:rsidR="004D51E8" w:rsidRPr="004D51E8" w:rsidRDefault="004D51E8">
            <w:pPr>
              <w:widowControl/>
              <w:jc w:val="left"/>
              <w:rPr>
                <w:rFonts w:ascii="仿宋_GB2312" w:eastAsia="仿宋_GB2312" w:hAnsiTheme="minorEastAsia" w:cs="宋体"/>
                <w:color w:val="000000"/>
                <w:kern w:val="0"/>
                <w:sz w:val="24"/>
              </w:rPr>
            </w:pPr>
            <w:r w:rsidRPr="004D51E8">
              <w:rPr>
                <w:rFonts w:ascii="仿宋_GB2312" w:eastAsia="仿宋_GB2312" w:hAnsiTheme="minorEastAsia" w:cs="宋体" w:hint="eastAsia"/>
                <w:color w:val="000000"/>
                <w:kern w:val="0"/>
                <w:sz w:val="24"/>
              </w:rPr>
              <w:t>首次上榜</w:t>
            </w:r>
          </w:p>
        </w:tc>
      </w:tr>
      <w:tr w:rsidR="004D51E8" w:rsidRPr="004D51E8" w14:paraId="466F5CF1" w14:textId="77777777" w:rsidTr="004D51E8">
        <w:trPr>
          <w:trHeight w:val="300"/>
        </w:trPr>
        <w:tc>
          <w:tcPr>
            <w:tcW w:w="3856" w:type="dxa"/>
            <w:tcBorders>
              <w:top w:val="nil"/>
              <w:left w:val="single" w:sz="4" w:space="0" w:color="auto"/>
              <w:bottom w:val="single" w:sz="4" w:space="0" w:color="auto"/>
              <w:right w:val="single" w:sz="4" w:space="0" w:color="auto"/>
            </w:tcBorders>
            <w:vAlign w:val="center"/>
            <w:hideMark/>
          </w:tcPr>
          <w:p w14:paraId="370B7DDE" w14:textId="77777777" w:rsidR="004D51E8" w:rsidRPr="004D51E8" w:rsidRDefault="004D51E8">
            <w:pPr>
              <w:widowControl/>
              <w:jc w:val="left"/>
              <w:rPr>
                <w:rFonts w:ascii="仿宋_GB2312" w:eastAsia="仿宋_GB2312" w:hAnsiTheme="minorEastAsia"/>
                <w:color w:val="000000"/>
                <w:kern w:val="0"/>
                <w:sz w:val="24"/>
              </w:rPr>
            </w:pPr>
            <w:r w:rsidRPr="004D51E8">
              <w:rPr>
                <w:rFonts w:ascii="仿宋_GB2312" w:eastAsia="仿宋_GB2312" w:hAnsiTheme="minorEastAsia" w:hint="eastAsia"/>
                <w:color w:val="000000"/>
                <w:kern w:val="0"/>
                <w:sz w:val="24"/>
              </w:rPr>
              <w:t>2021 QS亚洲大学排名，亚洲第116，中国内地第29</w:t>
            </w:r>
          </w:p>
        </w:tc>
        <w:tc>
          <w:tcPr>
            <w:tcW w:w="4366" w:type="dxa"/>
            <w:tcBorders>
              <w:top w:val="nil"/>
              <w:left w:val="nil"/>
              <w:bottom w:val="single" w:sz="4" w:space="0" w:color="auto"/>
              <w:right w:val="single" w:sz="4" w:space="0" w:color="auto"/>
            </w:tcBorders>
            <w:vAlign w:val="center"/>
            <w:hideMark/>
          </w:tcPr>
          <w:p w14:paraId="4EE87222" w14:textId="77777777" w:rsidR="004D51E8" w:rsidRPr="004D51E8" w:rsidRDefault="004D51E8">
            <w:pPr>
              <w:widowControl/>
              <w:jc w:val="left"/>
              <w:rPr>
                <w:rFonts w:ascii="仿宋_GB2312" w:eastAsia="仿宋_GB2312" w:hAnsiTheme="minorEastAsia"/>
                <w:color w:val="000000"/>
                <w:kern w:val="0"/>
                <w:sz w:val="24"/>
              </w:rPr>
            </w:pPr>
            <w:r w:rsidRPr="004D51E8">
              <w:rPr>
                <w:rFonts w:ascii="仿宋_GB2312" w:eastAsia="仿宋_GB2312" w:hAnsiTheme="minorEastAsia" w:hint="eastAsia"/>
                <w:color w:val="000000"/>
                <w:kern w:val="0"/>
                <w:sz w:val="24"/>
              </w:rPr>
              <w:t>亚洲上升15.3%，中国内地上升12.1%</w:t>
            </w:r>
          </w:p>
        </w:tc>
      </w:tr>
      <w:tr w:rsidR="004D51E8" w:rsidRPr="004D51E8" w14:paraId="1FBE7296" w14:textId="77777777" w:rsidTr="004D51E8">
        <w:trPr>
          <w:trHeight w:val="300"/>
        </w:trPr>
        <w:tc>
          <w:tcPr>
            <w:tcW w:w="3856" w:type="dxa"/>
            <w:tcBorders>
              <w:top w:val="nil"/>
              <w:left w:val="single" w:sz="4" w:space="0" w:color="auto"/>
              <w:bottom w:val="single" w:sz="4" w:space="0" w:color="auto"/>
              <w:right w:val="single" w:sz="4" w:space="0" w:color="auto"/>
            </w:tcBorders>
            <w:vAlign w:val="center"/>
            <w:hideMark/>
          </w:tcPr>
          <w:p w14:paraId="394D542E" w14:textId="77777777" w:rsidR="004D51E8" w:rsidRPr="004D51E8" w:rsidRDefault="004D51E8">
            <w:pPr>
              <w:widowControl/>
              <w:jc w:val="left"/>
              <w:rPr>
                <w:rFonts w:ascii="仿宋_GB2312" w:eastAsia="仿宋_GB2312" w:hAnsiTheme="minorEastAsia"/>
                <w:color w:val="000000"/>
                <w:kern w:val="0"/>
                <w:sz w:val="24"/>
              </w:rPr>
            </w:pPr>
            <w:r w:rsidRPr="004D51E8">
              <w:rPr>
                <w:rFonts w:ascii="仿宋_GB2312" w:eastAsia="仿宋_GB2312" w:hAnsiTheme="minorEastAsia" w:hint="eastAsia"/>
                <w:color w:val="000000"/>
                <w:kern w:val="0"/>
                <w:sz w:val="24"/>
              </w:rPr>
              <w:t>2021 US News全球最好大学排名，世界第471，中国内地第36</w:t>
            </w:r>
          </w:p>
        </w:tc>
        <w:tc>
          <w:tcPr>
            <w:tcW w:w="4366" w:type="dxa"/>
            <w:tcBorders>
              <w:top w:val="nil"/>
              <w:left w:val="nil"/>
              <w:bottom w:val="single" w:sz="4" w:space="0" w:color="auto"/>
              <w:right w:val="single" w:sz="4" w:space="0" w:color="auto"/>
            </w:tcBorders>
            <w:vAlign w:val="center"/>
            <w:hideMark/>
          </w:tcPr>
          <w:p w14:paraId="66A33F40" w14:textId="77777777" w:rsidR="004D51E8" w:rsidRPr="004D51E8" w:rsidRDefault="004D51E8">
            <w:pPr>
              <w:widowControl/>
              <w:jc w:val="left"/>
              <w:rPr>
                <w:rFonts w:ascii="仿宋_GB2312" w:eastAsia="仿宋_GB2312" w:hAnsiTheme="minorEastAsia"/>
                <w:color w:val="000000"/>
                <w:kern w:val="0"/>
                <w:sz w:val="24"/>
              </w:rPr>
            </w:pPr>
            <w:r w:rsidRPr="004D51E8">
              <w:rPr>
                <w:rFonts w:ascii="仿宋_GB2312" w:eastAsia="仿宋_GB2312" w:hAnsiTheme="minorEastAsia" w:hint="eastAsia"/>
                <w:color w:val="000000"/>
                <w:kern w:val="0"/>
                <w:sz w:val="24"/>
              </w:rPr>
              <w:t>世界上升31.2%，中国内地上升25%</w:t>
            </w:r>
          </w:p>
        </w:tc>
      </w:tr>
      <w:tr w:rsidR="004D51E8" w:rsidRPr="004D51E8" w14:paraId="47DF5A93" w14:textId="77777777" w:rsidTr="00D7386C">
        <w:trPr>
          <w:trHeight w:val="285"/>
        </w:trPr>
        <w:tc>
          <w:tcPr>
            <w:tcW w:w="8222" w:type="dxa"/>
            <w:gridSpan w:val="2"/>
            <w:noWrap/>
            <w:vAlign w:val="center"/>
            <w:hideMark/>
          </w:tcPr>
          <w:p w14:paraId="4874E76F" w14:textId="77777777" w:rsidR="004D51E8" w:rsidRPr="004D51E8" w:rsidRDefault="004D51E8">
            <w:pPr>
              <w:widowControl/>
              <w:jc w:val="right"/>
              <w:rPr>
                <w:rFonts w:ascii="仿宋_GB2312" w:eastAsia="仿宋_GB2312" w:hAnsi="宋体" w:cs="宋体"/>
                <w:color w:val="000000"/>
                <w:kern w:val="0"/>
                <w:sz w:val="24"/>
              </w:rPr>
            </w:pPr>
            <w:r w:rsidRPr="004D51E8">
              <w:rPr>
                <w:rFonts w:ascii="仿宋_GB2312" w:eastAsia="仿宋_GB2312" w:hAnsi="宋体" w:cs="宋体" w:hint="eastAsia"/>
                <w:color w:val="000000"/>
                <w:kern w:val="0"/>
                <w:sz w:val="24"/>
              </w:rPr>
              <w:t>注：</w:t>
            </w:r>
            <w:proofErr w:type="gramStart"/>
            <w:r w:rsidRPr="004D51E8">
              <w:rPr>
                <w:rFonts w:ascii="仿宋_GB2312" w:eastAsia="仿宋_GB2312" w:hAnsi="宋体" w:cs="宋体" w:hint="eastAsia"/>
                <w:color w:val="000000"/>
                <w:kern w:val="0"/>
                <w:sz w:val="24"/>
              </w:rPr>
              <w:t>部分榜名是</w:t>
            </w:r>
            <w:proofErr w:type="gramEnd"/>
            <w:r w:rsidRPr="004D51E8">
              <w:rPr>
                <w:rFonts w:ascii="仿宋_GB2312" w:eastAsia="仿宋_GB2312" w:hAnsi="宋体" w:cs="宋体" w:hint="eastAsia"/>
                <w:color w:val="000000"/>
                <w:kern w:val="0"/>
                <w:sz w:val="24"/>
              </w:rPr>
              <w:t>2021年，出榜时间是2020年。</w:t>
            </w:r>
          </w:p>
        </w:tc>
      </w:tr>
    </w:tbl>
    <w:p w14:paraId="5EA29DA8" w14:textId="77777777" w:rsidR="004D51E8" w:rsidRDefault="004D51E8" w:rsidP="004D51E8">
      <w:pPr>
        <w:spacing w:line="580" w:lineRule="exact"/>
        <w:ind w:firstLineChars="196" w:firstLine="627"/>
        <w:rPr>
          <w:rFonts w:ascii="黑体" w:eastAsia="黑体" w:hAnsi="黑体"/>
          <w:sz w:val="32"/>
          <w:szCs w:val="32"/>
        </w:rPr>
      </w:pPr>
      <w:r>
        <w:rPr>
          <w:rFonts w:ascii="黑体" w:eastAsia="黑体" w:hAnsi="黑体" w:hint="eastAsia"/>
          <w:sz w:val="32"/>
          <w:szCs w:val="32"/>
        </w:rPr>
        <w:t>三、总体评价和整改措施</w:t>
      </w:r>
    </w:p>
    <w:p w14:paraId="1F871139" w14:textId="77777777" w:rsidR="004D51E8" w:rsidRDefault="004D51E8" w:rsidP="004D51E8">
      <w:pPr>
        <w:spacing w:line="580" w:lineRule="exact"/>
        <w:ind w:firstLineChars="250" w:firstLine="803"/>
        <w:rPr>
          <w:rFonts w:ascii="楷体_GB2312" w:eastAsia="楷体_GB2312"/>
          <w:sz w:val="32"/>
          <w:szCs w:val="32"/>
        </w:rPr>
      </w:pPr>
      <w:r>
        <w:rPr>
          <w:rFonts w:ascii="楷体_GB2312" w:eastAsia="楷体_GB2312" w:hint="eastAsia"/>
          <w:b/>
          <w:sz w:val="32"/>
          <w:szCs w:val="32"/>
        </w:rPr>
        <w:t>（一）</w:t>
      </w:r>
      <w:r>
        <w:rPr>
          <w:rFonts w:ascii="楷体_GB2312" w:eastAsia="楷体_GB2312" w:hint="eastAsia"/>
          <w:sz w:val="32"/>
          <w:szCs w:val="32"/>
        </w:rPr>
        <w:t>预算绩效管理工作主要经验、做法。</w:t>
      </w:r>
    </w:p>
    <w:p w14:paraId="1BAC6D5C" w14:textId="77777777" w:rsidR="004D51E8" w:rsidRDefault="004D51E8" w:rsidP="004D51E8">
      <w:pPr>
        <w:spacing w:line="580" w:lineRule="exact"/>
        <w:ind w:firstLineChars="200" w:firstLine="640"/>
        <w:rPr>
          <w:rFonts w:ascii="仿宋_GB2312" w:eastAsia="仿宋_GB2312" w:hAnsi="楷体_GB2312" w:cs="楷体_GB2312"/>
          <w:bCs/>
          <w:sz w:val="32"/>
          <w:szCs w:val="32"/>
        </w:rPr>
      </w:pPr>
      <w:r>
        <w:rPr>
          <w:rFonts w:ascii="仿宋_GB2312" w:eastAsia="仿宋_GB2312" w:hAnsi="楷体_GB2312" w:cs="楷体_GB2312" w:hint="eastAsia"/>
          <w:bCs/>
          <w:sz w:val="32"/>
          <w:szCs w:val="32"/>
        </w:rPr>
        <w:t>2020年是我校全面开展预算绩效管理工作的第三年，具体工作涉及绩效目标管理、绩效监控管理、绩效评价管理、结果应用等各个环节。</w:t>
      </w:r>
    </w:p>
    <w:p w14:paraId="40EC17FF" w14:textId="77777777" w:rsidR="004D51E8" w:rsidRDefault="004D51E8" w:rsidP="004D51E8">
      <w:pPr>
        <w:spacing w:line="580" w:lineRule="exact"/>
        <w:ind w:firstLineChars="200" w:firstLine="640"/>
        <w:rPr>
          <w:rFonts w:ascii="仿宋_GB2312" w:eastAsia="仿宋_GB2312" w:hAnsi="楷体_GB2312" w:cs="楷体_GB2312"/>
          <w:bCs/>
          <w:sz w:val="32"/>
          <w:szCs w:val="32"/>
        </w:rPr>
      </w:pPr>
      <w:r>
        <w:rPr>
          <w:rFonts w:ascii="仿宋_GB2312" w:eastAsia="仿宋_GB2312" w:hAnsi="楷体_GB2312" w:cs="楷体_GB2312" w:hint="eastAsia"/>
          <w:bCs/>
          <w:sz w:val="32"/>
          <w:szCs w:val="32"/>
        </w:rPr>
        <w:t>2020年预算绩效管理具体经验做法如下：</w:t>
      </w:r>
    </w:p>
    <w:p w14:paraId="3C61669B" w14:textId="77777777" w:rsidR="004D51E8" w:rsidRDefault="004D51E8" w:rsidP="004D51E8">
      <w:pPr>
        <w:spacing w:line="580" w:lineRule="exact"/>
        <w:ind w:firstLineChars="200" w:firstLine="640"/>
        <w:rPr>
          <w:rFonts w:ascii="仿宋_GB2312" w:eastAsia="仿宋_GB2312" w:hAnsi="楷体_GB2312" w:cs="楷体_GB2312"/>
          <w:bCs/>
          <w:sz w:val="32"/>
          <w:szCs w:val="32"/>
        </w:rPr>
      </w:pPr>
      <w:r>
        <w:rPr>
          <w:rFonts w:ascii="仿宋_GB2312" w:eastAsia="仿宋_GB2312" w:hAnsi="楷体_GB2312" w:cs="楷体_GB2312" w:hint="eastAsia"/>
          <w:bCs/>
          <w:sz w:val="32"/>
          <w:szCs w:val="32"/>
        </w:rPr>
        <w:t>一是奠定制度基础。2020年3月，经过为期半年的充分征求意见并最终经校长办公会审议通过，《南方科技大学预算绩效管理实施细则》（南科大〔2020〕20号）正式发布实施。</w:t>
      </w:r>
    </w:p>
    <w:p w14:paraId="7FAA2165" w14:textId="77777777" w:rsidR="004D51E8" w:rsidRDefault="004D51E8" w:rsidP="004D51E8">
      <w:pPr>
        <w:spacing w:line="580" w:lineRule="exact"/>
        <w:ind w:firstLineChars="200" w:firstLine="640"/>
        <w:rPr>
          <w:rFonts w:ascii="仿宋_GB2312" w:eastAsia="仿宋_GB2312" w:hAnsi="楷体_GB2312" w:cs="楷体_GB2312"/>
          <w:bCs/>
          <w:sz w:val="32"/>
          <w:szCs w:val="32"/>
        </w:rPr>
      </w:pPr>
      <w:r>
        <w:rPr>
          <w:rFonts w:ascii="仿宋_GB2312" w:eastAsia="仿宋_GB2312" w:hAnsi="楷体_GB2312" w:cs="楷体_GB2312" w:hint="eastAsia"/>
          <w:bCs/>
          <w:sz w:val="32"/>
          <w:szCs w:val="32"/>
        </w:rPr>
        <w:t>二是绩效目标全覆盖。2020年1月，所有校内预算单位根据工作计划完善2020年单位整体支出绩效目标，绩效目标表随同单位预算一并批复下达。</w:t>
      </w:r>
    </w:p>
    <w:p w14:paraId="3CD01EC5" w14:textId="77777777" w:rsidR="004D51E8" w:rsidRDefault="004D51E8" w:rsidP="004D51E8">
      <w:pPr>
        <w:spacing w:line="580" w:lineRule="exact"/>
        <w:ind w:firstLineChars="200" w:firstLine="640"/>
        <w:rPr>
          <w:rFonts w:ascii="仿宋_GB2312" w:eastAsia="仿宋_GB2312" w:hAnsi="楷体_GB2312" w:cs="楷体_GB2312"/>
          <w:bCs/>
          <w:sz w:val="32"/>
          <w:szCs w:val="32"/>
        </w:rPr>
      </w:pPr>
      <w:r>
        <w:rPr>
          <w:rFonts w:ascii="仿宋_GB2312" w:eastAsia="仿宋_GB2312" w:hAnsi="楷体_GB2312" w:cs="楷体_GB2312" w:hint="eastAsia"/>
          <w:bCs/>
          <w:sz w:val="32"/>
          <w:szCs w:val="32"/>
        </w:rPr>
        <w:t>三是全面开展绩效自评。2020年3-4月，所有校内预算单位均开展2019年度单位整体支出绩效自评，绩效自评覆盖率100%。</w:t>
      </w:r>
    </w:p>
    <w:p w14:paraId="173947CE" w14:textId="77777777" w:rsidR="004D51E8" w:rsidRDefault="004D51E8" w:rsidP="004D51E8">
      <w:pPr>
        <w:spacing w:line="580" w:lineRule="exact"/>
        <w:ind w:firstLineChars="200" w:firstLine="640"/>
        <w:rPr>
          <w:rFonts w:ascii="仿宋_GB2312" w:eastAsia="仿宋_GB2312" w:hAnsi="楷体_GB2312" w:cs="楷体_GB2312"/>
          <w:bCs/>
          <w:sz w:val="32"/>
          <w:szCs w:val="32"/>
        </w:rPr>
      </w:pPr>
      <w:r>
        <w:rPr>
          <w:rFonts w:ascii="仿宋_GB2312" w:eastAsia="仿宋_GB2312" w:hAnsi="楷体_GB2312" w:cs="楷体_GB2312" w:hint="eastAsia"/>
          <w:bCs/>
          <w:sz w:val="32"/>
          <w:szCs w:val="32"/>
        </w:rPr>
        <w:t>四是积极借助第三</w:t>
      </w:r>
      <w:proofErr w:type="gramStart"/>
      <w:r>
        <w:rPr>
          <w:rFonts w:ascii="仿宋_GB2312" w:eastAsia="仿宋_GB2312" w:hAnsi="楷体_GB2312" w:cs="楷体_GB2312" w:hint="eastAsia"/>
          <w:bCs/>
          <w:sz w:val="32"/>
          <w:szCs w:val="32"/>
        </w:rPr>
        <w:t>方专业</w:t>
      </w:r>
      <w:proofErr w:type="gramEnd"/>
      <w:r>
        <w:rPr>
          <w:rFonts w:ascii="仿宋_GB2312" w:eastAsia="仿宋_GB2312" w:hAnsi="楷体_GB2312" w:cs="楷体_GB2312" w:hint="eastAsia"/>
          <w:bCs/>
          <w:sz w:val="32"/>
          <w:szCs w:val="32"/>
        </w:rPr>
        <w:t>力量。2019年7月-12月，第三</w:t>
      </w:r>
      <w:proofErr w:type="gramStart"/>
      <w:r>
        <w:rPr>
          <w:rFonts w:ascii="仿宋_GB2312" w:eastAsia="仿宋_GB2312" w:hAnsi="楷体_GB2312" w:cs="楷体_GB2312" w:hint="eastAsia"/>
          <w:bCs/>
          <w:sz w:val="32"/>
          <w:szCs w:val="32"/>
        </w:rPr>
        <w:t>方专业</w:t>
      </w:r>
      <w:proofErr w:type="gramEnd"/>
      <w:r>
        <w:rPr>
          <w:rFonts w:ascii="仿宋_GB2312" w:eastAsia="仿宋_GB2312" w:hAnsi="楷体_GB2312" w:cs="楷体_GB2312" w:hint="eastAsia"/>
          <w:bCs/>
          <w:sz w:val="32"/>
          <w:szCs w:val="32"/>
        </w:rPr>
        <w:t>机构驻场我校，按“职能-工作任务-业务活动-产出和效益”的逻辑全面梳理各单位整体支出绩效目标体系，并对将业务性质相近的单位归为一类，梳理6套绩效评价指标</w:t>
      </w:r>
      <w:r>
        <w:rPr>
          <w:rFonts w:ascii="仿宋_GB2312" w:eastAsia="仿宋_GB2312" w:hAnsi="楷体_GB2312" w:cs="楷体_GB2312" w:hint="eastAsia"/>
          <w:bCs/>
          <w:sz w:val="32"/>
          <w:szCs w:val="32"/>
        </w:rPr>
        <w:lastRenderedPageBreak/>
        <w:t>体系，为2020年度绩效目标申报及2019年度各单位绩效评价奠定基础。2020年4-9月，第三</w:t>
      </w:r>
      <w:proofErr w:type="gramStart"/>
      <w:r>
        <w:rPr>
          <w:rFonts w:ascii="仿宋_GB2312" w:eastAsia="仿宋_GB2312" w:hAnsi="楷体_GB2312" w:cs="楷体_GB2312" w:hint="eastAsia"/>
          <w:bCs/>
          <w:sz w:val="32"/>
          <w:szCs w:val="32"/>
        </w:rPr>
        <w:t>方专业</w:t>
      </w:r>
      <w:proofErr w:type="gramEnd"/>
      <w:r>
        <w:rPr>
          <w:rFonts w:ascii="仿宋_GB2312" w:eastAsia="仿宋_GB2312" w:hAnsi="楷体_GB2312" w:cs="楷体_GB2312" w:hint="eastAsia"/>
          <w:bCs/>
          <w:sz w:val="32"/>
          <w:szCs w:val="32"/>
        </w:rPr>
        <w:t>机构在各单位2019年度单位整体支出绩效自评的基础上开展复核性再评价，通过多轮交叉复核、随机抽查复核、文字校审等，最终确认绩效评分结果。</w:t>
      </w:r>
    </w:p>
    <w:p w14:paraId="0B847451" w14:textId="77777777" w:rsidR="004D51E8" w:rsidRDefault="004D51E8" w:rsidP="004D51E8">
      <w:pPr>
        <w:spacing w:line="580" w:lineRule="exact"/>
        <w:ind w:firstLineChars="200" w:firstLine="640"/>
        <w:rPr>
          <w:rFonts w:ascii="仿宋_GB2312" w:eastAsia="仿宋_GB2312" w:hAnsi="楷体_GB2312" w:cs="楷体_GB2312"/>
          <w:bCs/>
          <w:sz w:val="32"/>
          <w:szCs w:val="32"/>
        </w:rPr>
      </w:pPr>
      <w:r>
        <w:rPr>
          <w:rFonts w:ascii="仿宋_GB2312" w:eastAsia="仿宋_GB2312" w:hAnsi="楷体_GB2312" w:cs="楷体_GB2312" w:hint="eastAsia"/>
          <w:bCs/>
          <w:sz w:val="32"/>
          <w:szCs w:val="32"/>
        </w:rPr>
        <w:t>五是预算绩效管理模块全部上线使用。2020年“一上”预算申报时，各单位绩效目标申报即在系统内完成，系统内嵌入资金大类目标指标体系和单位整体支出绩效目标体系，供单位填报时选用；2020年7月上线绩效监控模块，各单位在系统内填报目标完成情况的同时监控预算执行情况；2021年初上线绩效自评模块，各单位结合目标及监控情况填报自评信息。</w:t>
      </w:r>
    </w:p>
    <w:p w14:paraId="736F1007" w14:textId="77777777" w:rsidR="004D51E8" w:rsidRDefault="004D51E8" w:rsidP="004D51E8">
      <w:pPr>
        <w:spacing w:line="580" w:lineRule="exact"/>
        <w:ind w:firstLineChars="250" w:firstLine="803"/>
        <w:rPr>
          <w:rFonts w:ascii="楷体_GB2312" w:eastAsia="楷体_GB2312"/>
          <w:sz w:val="32"/>
          <w:szCs w:val="32"/>
        </w:rPr>
      </w:pPr>
      <w:r>
        <w:rPr>
          <w:rFonts w:ascii="楷体_GB2312" w:eastAsia="楷体_GB2312" w:hint="eastAsia"/>
          <w:b/>
          <w:sz w:val="32"/>
          <w:szCs w:val="32"/>
        </w:rPr>
        <w:t>（二）</w:t>
      </w:r>
      <w:r>
        <w:rPr>
          <w:rFonts w:ascii="楷体_GB2312" w:eastAsia="楷体_GB2312" w:hint="eastAsia"/>
          <w:sz w:val="32"/>
          <w:szCs w:val="32"/>
        </w:rPr>
        <w:t>部门整体支出绩效存在问题及改进措施。</w:t>
      </w:r>
    </w:p>
    <w:p w14:paraId="06C6DD20" w14:textId="77777777" w:rsidR="004D51E8" w:rsidRDefault="004D51E8" w:rsidP="004D51E8">
      <w:pPr>
        <w:pStyle w:val="a7"/>
        <w:spacing w:line="560" w:lineRule="exact"/>
        <w:ind w:firstLine="640"/>
        <w:rPr>
          <w:sz w:val="32"/>
          <w:szCs w:val="32"/>
        </w:rPr>
      </w:pPr>
      <w:r>
        <w:rPr>
          <w:rFonts w:hint="eastAsia"/>
          <w:sz w:val="32"/>
          <w:szCs w:val="32"/>
        </w:rPr>
        <w:t>绩效监控工作未实现全覆盖。2020年我校各单位申报预算需求时一并申报绩效目标，基本实现绩效目标全覆盖，同时，明确的绩效目标及绩效指标为后续的绩效监控和绩效评价的开展提供了有利条件。但由于绩效监控开展时间正好是暑假期间，学校教职工处于轮休状态，部分单位未及时完成绩效监控工作，预算绩效管理的四个环节工作暂时未完全普及至各单位工作人员，导致绩效监控工作开展存有一定难度。但不可否认的是，我校2020年预算绩效管理工作各方面都在向好发展，为我校预算绩效管理中长期规划的逐步实现形成了有力的助推。下一步，我校将积极宣贯，强调绩效监控的重要性，提前引导各单位加强重视，实现绩效目标达成情</w:t>
      </w:r>
      <w:r>
        <w:rPr>
          <w:rFonts w:hint="eastAsia"/>
          <w:sz w:val="32"/>
          <w:szCs w:val="32"/>
        </w:rPr>
        <w:lastRenderedPageBreak/>
        <w:t>况和预算执行双监控。</w:t>
      </w:r>
    </w:p>
    <w:p w14:paraId="161DBC6A" w14:textId="77777777" w:rsidR="004D51E8" w:rsidRDefault="004D51E8" w:rsidP="004D51E8">
      <w:pPr>
        <w:pStyle w:val="a7"/>
        <w:spacing w:line="560" w:lineRule="exact"/>
        <w:ind w:firstLine="640"/>
        <w:rPr>
          <w:sz w:val="32"/>
          <w:szCs w:val="32"/>
        </w:rPr>
      </w:pPr>
      <w:r>
        <w:rPr>
          <w:rFonts w:hint="eastAsia"/>
          <w:sz w:val="32"/>
          <w:szCs w:val="32"/>
        </w:rPr>
        <w:t>预算绩效管理理念尚未深入人心。由于预算绩效管理为近些年的较新的财政业务，我校教职工对预算绩效管理的理念了解不足，常将预算绩效和涉及绩效奖金的岗位绩效及部门绩效混为一谈，不理解推行的预算绩效管理的必要性，进而导致落实预算绩效管理主体责任的主动性不足，在推进单位整体支出指标体系及单位分类绩效评价指标体系建设过程中遇到部分阻力。</w:t>
      </w:r>
    </w:p>
    <w:p w14:paraId="0DD1F34C" w14:textId="77777777" w:rsidR="004D51E8" w:rsidRDefault="004D51E8" w:rsidP="004D51E8">
      <w:pPr>
        <w:spacing w:line="580" w:lineRule="exact"/>
        <w:ind w:firstLineChars="250" w:firstLine="803"/>
        <w:rPr>
          <w:rFonts w:ascii="楷体_GB2312" w:eastAsia="楷体_GB2312"/>
          <w:sz w:val="32"/>
          <w:szCs w:val="32"/>
        </w:rPr>
      </w:pPr>
      <w:r>
        <w:rPr>
          <w:rFonts w:ascii="楷体_GB2312" w:eastAsia="楷体_GB2312" w:hint="eastAsia"/>
          <w:b/>
          <w:sz w:val="32"/>
          <w:szCs w:val="32"/>
        </w:rPr>
        <w:t>（三）</w:t>
      </w:r>
      <w:r>
        <w:rPr>
          <w:rFonts w:ascii="楷体_GB2312" w:eastAsia="楷体_GB2312" w:hint="eastAsia"/>
          <w:sz w:val="32"/>
          <w:szCs w:val="32"/>
        </w:rPr>
        <w:t>后续工作计划、相关建议等。</w:t>
      </w:r>
    </w:p>
    <w:p w14:paraId="4A6F5458" w14:textId="77777777" w:rsidR="004D51E8" w:rsidRDefault="004D51E8" w:rsidP="004D51E8">
      <w:pPr>
        <w:spacing w:line="580" w:lineRule="exact"/>
        <w:ind w:firstLineChars="250" w:firstLine="800"/>
        <w:rPr>
          <w:rFonts w:eastAsia="仿宋_GB2312"/>
          <w:kern w:val="0"/>
          <w:sz w:val="32"/>
          <w:szCs w:val="32"/>
          <w:lang w:val="zh-CN"/>
        </w:rPr>
      </w:pPr>
      <w:r>
        <w:rPr>
          <w:rFonts w:eastAsia="仿宋_GB2312"/>
          <w:kern w:val="0"/>
          <w:sz w:val="32"/>
          <w:szCs w:val="32"/>
          <w:lang w:val="zh-CN"/>
        </w:rPr>
        <w:t>2021</w:t>
      </w:r>
      <w:r>
        <w:rPr>
          <w:rFonts w:eastAsia="仿宋_GB2312" w:hint="eastAsia"/>
          <w:kern w:val="0"/>
          <w:sz w:val="32"/>
          <w:szCs w:val="32"/>
          <w:lang w:val="zh-CN"/>
        </w:rPr>
        <w:t>年，我校为推动校内各单位落实预算执行和绩效管理的主体责任，提升资金使用效益，通过校内公开招标聘请第三方机构对重点项目支出进行重点绩效评价。评价范围为近</w:t>
      </w:r>
      <w:r>
        <w:rPr>
          <w:rFonts w:eastAsia="仿宋_GB2312"/>
          <w:kern w:val="0"/>
          <w:sz w:val="32"/>
          <w:szCs w:val="32"/>
          <w:lang w:val="zh-CN"/>
        </w:rPr>
        <w:t>3</w:t>
      </w:r>
      <w:r>
        <w:rPr>
          <w:rFonts w:eastAsia="仿宋_GB2312" w:hint="eastAsia"/>
          <w:kern w:val="0"/>
          <w:sz w:val="32"/>
          <w:szCs w:val="32"/>
          <w:lang w:val="zh-CN"/>
        </w:rPr>
        <w:t>年校内安排资金教学经费项目、基础科研经费项目、后勤经费项目。一是以教研类单位</w:t>
      </w:r>
      <w:r>
        <w:rPr>
          <w:rFonts w:eastAsia="仿宋_GB2312"/>
          <w:kern w:val="0"/>
          <w:sz w:val="32"/>
          <w:szCs w:val="32"/>
          <w:lang w:val="zh-CN"/>
        </w:rPr>
        <w:t>2020</w:t>
      </w:r>
      <w:r>
        <w:rPr>
          <w:rFonts w:eastAsia="仿宋_GB2312" w:hint="eastAsia"/>
          <w:kern w:val="0"/>
          <w:sz w:val="32"/>
          <w:szCs w:val="32"/>
          <w:lang w:val="zh-CN"/>
        </w:rPr>
        <w:t>年度教学和基础科研两大履职项目的绩效自评报告为基础，结合各单位近</w:t>
      </w:r>
      <w:r>
        <w:rPr>
          <w:rFonts w:eastAsia="仿宋_GB2312"/>
          <w:kern w:val="0"/>
          <w:sz w:val="32"/>
          <w:szCs w:val="32"/>
          <w:lang w:val="zh-CN"/>
        </w:rPr>
        <w:t>3</w:t>
      </w:r>
      <w:r>
        <w:rPr>
          <w:rFonts w:eastAsia="仿宋_GB2312" w:hint="eastAsia"/>
          <w:kern w:val="0"/>
          <w:sz w:val="32"/>
          <w:szCs w:val="32"/>
          <w:lang w:val="zh-CN"/>
        </w:rPr>
        <w:t>年教学和基础科研经费的使用情况，梳理教学大类项目及基础科研大类项目的产出和效益，综合评价两类经费的投入产出情况，探索教学和基础科研两类经费支出标准体系。二是以后勤各单位</w:t>
      </w:r>
      <w:r>
        <w:rPr>
          <w:rFonts w:eastAsia="仿宋_GB2312"/>
          <w:kern w:val="0"/>
          <w:sz w:val="32"/>
          <w:szCs w:val="32"/>
          <w:lang w:val="zh-CN"/>
        </w:rPr>
        <w:t>2020</w:t>
      </w:r>
      <w:r>
        <w:rPr>
          <w:rFonts w:eastAsia="仿宋_GB2312" w:hint="eastAsia"/>
          <w:kern w:val="0"/>
          <w:sz w:val="32"/>
          <w:szCs w:val="32"/>
          <w:lang w:val="zh-CN"/>
        </w:rPr>
        <w:t>年度单位整体支出绩效自评报告及重点项目支出绩效自评报告为基础，结合学校整体后勤经费使用情况，梳理出后勤经费项目的产出和效益，梳理后勤经费支出标准体系。</w:t>
      </w:r>
    </w:p>
    <w:p w14:paraId="6A42E364" w14:textId="77777777" w:rsidR="00A21D17" w:rsidRDefault="00122FD5"/>
    <w:sectPr w:rsidR="00A21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CBA55" w14:textId="77777777" w:rsidR="00A81BC1" w:rsidRDefault="00A81BC1" w:rsidP="004D51E8">
      <w:r>
        <w:separator/>
      </w:r>
    </w:p>
  </w:endnote>
  <w:endnote w:type="continuationSeparator" w:id="0">
    <w:p w14:paraId="58AB532B" w14:textId="77777777" w:rsidR="00A81BC1" w:rsidRDefault="00A81BC1" w:rsidP="004D5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dobe 楷体 Std R">
    <w:altName w:val="宋体"/>
    <w:charset w:val="86"/>
    <w:family w:val="roman"/>
    <w:pitch w:val="default"/>
    <w:sig w:usb0="00000000" w:usb1="00000000" w:usb2="00000010" w:usb3="00000000" w:csb0="00060007"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1D3EC" w14:textId="77777777" w:rsidR="00A81BC1" w:rsidRDefault="00A81BC1" w:rsidP="004D51E8">
      <w:r>
        <w:separator/>
      </w:r>
    </w:p>
  </w:footnote>
  <w:footnote w:type="continuationSeparator" w:id="0">
    <w:p w14:paraId="56464D69" w14:textId="77777777" w:rsidR="00A81BC1" w:rsidRDefault="00A81BC1" w:rsidP="004D51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508"/>
    <w:rsid w:val="000D02B1"/>
    <w:rsid w:val="00122FD5"/>
    <w:rsid w:val="00177FAD"/>
    <w:rsid w:val="001A4508"/>
    <w:rsid w:val="004D51E8"/>
    <w:rsid w:val="00710307"/>
    <w:rsid w:val="0082636B"/>
    <w:rsid w:val="00886639"/>
    <w:rsid w:val="00A72CE5"/>
    <w:rsid w:val="00A81BC1"/>
    <w:rsid w:val="00F44A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F8DE3D"/>
  <w15:chartTrackingRefBased/>
  <w15:docId w15:val="{9E516FE0-C098-4713-92AD-1B8DC1A0B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51E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51E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D51E8"/>
    <w:rPr>
      <w:sz w:val="18"/>
      <w:szCs w:val="18"/>
    </w:rPr>
  </w:style>
  <w:style w:type="paragraph" w:styleId="a5">
    <w:name w:val="footer"/>
    <w:basedOn w:val="a"/>
    <w:link w:val="a6"/>
    <w:uiPriority w:val="99"/>
    <w:unhideWhenUsed/>
    <w:rsid w:val="004D51E8"/>
    <w:pPr>
      <w:tabs>
        <w:tab w:val="center" w:pos="4153"/>
        <w:tab w:val="right" w:pos="8306"/>
      </w:tabs>
      <w:snapToGrid w:val="0"/>
      <w:jc w:val="left"/>
    </w:pPr>
    <w:rPr>
      <w:sz w:val="18"/>
      <w:szCs w:val="18"/>
    </w:rPr>
  </w:style>
  <w:style w:type="character" w:customStyle="1" w:styleId="a6">
    <w:name w:val="页脚 字符"/>
    <w:basedOn w:val="a0"/>
    <w:link w:val="a5"/>
    <w:uiPriority w:val="99"/>
    <w:rsid w:val="004D51E8"/>
    <w:rPr>
      <w:sz w:val="18"/>
      <w:szCs w:val="18"/>
    </w:rPr>
  </w:style>
  <w:style w:type="character" w:customStyle="1" w:styleId="Char">
    <w:name w:val="闻政正文 Char"/>
    <w:link w:val="a7"/>
    <w:uiPriority w:val="3"/>
    <w:locked/>
    <w:rsid w:val="004D51E8"/>
    <w:rPr>
      <w:rFonts w:ascii="仿宋_GB2312" w:eastAsia="仿宋_GB2312"/>
      <w:sz w:val="28"/>
      <w:szCs w:val="28"/>
      <w:lang w:val="zh-CN"/>
    </w:rPr>
  </w:style>
  <w:style w:type="paragraph" w:customStyle="1" w:styleId="a7">
    <w:name w:val="闻政正文"/>
    <w:basedOn w:val="a"/>
    <w:link w:val="Char"/>
    <w:uiPriority w:val="3"/>
    <w:qFormat/>
    <w:rsid w:val="004D51E8"/>
    <w:pPr>
      <w:spacing w:line="500" w:lineRule="exact"/>
      <w:ind w:firstLineChars="200" w:firstLine="200"/>
    </w:pPr>
    <w:rPr>
      <w:rFonts w:ascii="仿宋_GB2312" w:eastAsia="仿宋_GB2312" w:hAnsiTheme="minorHAnsi" w:cstheme="minorBidi"/>
      <w:sz w:val="28"/>
      <w:szCs w:val="28"/>
      <w:lang w:val="zh-CN"/>
    </w:rPr>
  </w:style>
  <w:style w:type="table" w:styleId="a8">
    <w:name w:val="Table Grid"/>
    <w:basedOn w:val="a1"/>
    <w:uiPriority w:val="59"/>
    <w:rsid w:val="004D51E8"/>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134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23</Pages>
  <Words>1916</Words>
  <Characters>10927</Characters>
  <Application>Microsoft Office Word</Application>
  <DocSecurity>0</DocSecurity>
  <Lines>91</Lines>
  <Paragraphs>25</Paragraphs>
  <ScaleCrop>false</ScaleCrop>
  <Company/>
  <LinksUpToDate>false</LinksUpToDate>
  <CharactersWithSpaces>12818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junzai</cp:lastModifiedBy>
  <cp:revision>5</cp:revision>
  <cp:lastPrinted>2021-07-13T08:40:00Z</cp:lastPrinted>
  <dcterms:created xsi:type="dcterms:W3CDTF">2021-07-13T06:46:00Z</dcterms:created>
  <dcterms:modified xsi:type="dcterms:W3CDTF">2021-09-26T15:12:00Z</dcterms:modified>
</cp:coreProperties>
</file>